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u w:val="single"/>
          <w:rtl w:val="0"/>
        </w:rPr>
        <w:t xml:space="preserve"> Szczegółowe wymagania edukacyjne z edukacji zdrowotnej do klasy IV</w:t>
      </w:r>
    </w:p>
    <w:p w:rsidR="00000000" w:rsidDel="00000000" w:rsidP="00000000" w:rsidRDefault="00000000" w:rsidRPr="00000000" w14:paraId="0000000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834063" cy="952500"/>
            <wp:effectExtent b="12700" l="12700" r="12700" t="127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4063" cy="952500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843588" cy="2352675"/>
            <wp:effectExtent b="12700" l="12700" r="12700" t="127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43588" cy="2352675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Cele ogólne i zasady oceniania</w:t>
      </w:r>
    </w:p>
    <w:p w:rsidR="00000000" w:rsidDel="00000000" w:rsidP="00000000" w:rsidRDefault="00000000" w:rsidRPr="00000000" w14:paraId="00000007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</w:rPr>
        <w:drawing>
          <wp:inline distB="114300" distT="114300" distL="114300" distR="114300">
            <wp:extent cx="5853113" cy="3743325"/>
            <wp:effectExtent b="12700" l="12700" r="12700" t="1270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53113" cy="3743325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