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WYMAGANIA EDUKACYJNE – PRZYRODA – KLASA IV</w:t>
      </w:r>
    </w:p>
    <w:p>
      <w:pPr>
        <w:jc w:val="center"/>
      </w:pPr>
      <w:r>
        <w:rPr>
          <w:b/>
          <w:sz w:val="22"/>
        </w:rPr>
        <w:t>rok szkolny 2026/2027</w:t>
      </w:r>
    </w:p>
    <w:p>
      <w:pPr>
        <w:jc w:val="center"/>
      </w:pPr>
      <w:r>
        <w:t>Szkoła Podstawowa w Zespole Szkolno-Przedszkolnym im. Powstańców Wielkopolskich w Mielżynie</w:t>
      </w:r>
    </w:p>
    <w:p>
      <w:pPr>
        <w:pStyle w:val="Heading1"/>
      </w:pPr>
      <w:r>
        <w:t>1. Podstawa opracowania</w:t>
      </w:r>
    </w:p>
    <w:p>
      <w:pPr>
        <w:pStyle w:val="ListBullet"/>
      </w:pPr>
      <w:r>
        <w:t>Rozporządzenie Ministra Edukacji z 11 marca 2026 r. w sprawie podstawy programowej wychowania przedszkolnego oraz podstawy programowej kształcenia ogólnego dla szkoły podstawowej (Dz.U. 2026 poz. 378) – nowa podstawa programowa stosowana w klasie IV od 1 września 2026 r.</w:t>
      </w:r>
    </w:p>
    <w:p>
      <w:pPr>
        <w:pStyle w:val="ListBullet"/>
      </w:pPr>
      <w:r>
        <w:t>Plan wynikowy do serii „To nasz świat. Przyroda 4” – 3 godziny tygodniowo, 96 godzin w roku; szczegółowe wymagania konieczne, podstawowe, rozszerzające i dopełniające przypisane do tematów lekcji.</w:t>
      </w:r>
    </w:p>
    <w:p>
      <w:pPr>
        <w:pStyle w:val="ListBullet"/>
      </w:pPr>
      <w:r>
        <w:t>Statut Szkoły Podstawowej w ZSP w Mielżynie – w szczególności przepisy dotyczące informowania o wymaganiach, sposobów sprawdzania osiągnięć, skali oceniania, klasyfikowania oraz trybu uzyskania oceny wyższej niż przewidywana.</w:t>
      </w:r>
    </w:p>
    <w:p>
      <w:pPr>
        <w:pStyle w:val="ListBullet"/>
      </w:pPr>
      <w:r>
        <w:t>Rozporządzenie Ministra Edukacji z 20 sierpnia 2026 r. zmieniające przepisy dotyczące oceniania, klasyfikowania i promowania uczniów (Dz.U. 2026 poz. 1122), obowiązujące w zakresie dotyczącym prac domowych od 1 września 2026 r.</w:t>
      </w:r>
    </w:p>
    <w:p>
      <w:pPr>
        <w:pStyle w:val="Heading1"/>
      </w:pPr>
      <w:r>
        <w:t>2. Zasady interpretacji wymagań</w:t>
      </w:r>
    </w:p>
    <w:p>
      <w:r>
        <w:t>Dokument określa wymagania edukacyjne niezbędne do otrzymania poszczególnych śródrocznych i rocznych ocen klasyfikacyjnych. Wymagania zapisano za pomocą możliwych do zaobserwowania czynności ucznia (np. wymienia, rozpoznaje, wskazuje, opisuje, wyjaśnia, porównuje, analizuje, uzasadnia, planuje, formułuje wnioski).</w:t>
      </w:r>
    </w:p>
    <w:p>
      <w:r>
        <w:t>Wymagania mają charakter narastający: uczeń spełniający wymagania na ocenę wyższą powinien również spełniać wymagania przypisane do ocen niższych, w zakresie treści faktycznie zrealizowanych.</w:t>
      </w:r>
    </w:p>
    <w:p>
      <w:r>
        <w:t>Plan wynikowy wydawnictwa ujmuje wymagania dopełniające wspólnie dla ocen bardzo dobrej i celującej. Dlatego w tabelach lekcyjnych pozostawiono wspólną kolumnę „5–6”, zgodnie z materiałem źródłowym. Rozróżnienie ocen 5 i 6 następuje przez stopień spełnienia wymagań dopełniających oraz jakość, samodzielność i poprawność ich realizacji; nie tworzy się dodatkowych treści niewynikających z programu.</w:t>
      </w:r>
    </w:p>
    <w:p>
      <w:pPr>
        <w:pStyle w:val="Heading1"/>
      </w:pPr>
      <w:r>
        <w:t>3. Wymagania na poszczególne oceny klasyfikacyjne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296"/>
        <w:gridCol w:w="7296"/>
      </w:tblGrid>
      <w:tr>
        <w:tc>
          <w:tcPr>
            <w:tcW w:type="dxa" w:w="7296"/>
            <w:shd w:fill="D9EAF7"/>
          </w:tcPr>
          <w:p>
            <w:pPr>
              <w:spacing w:after="20" w:line="228" w:lineRule="auto"/>
            </w:pPr>
            <w:r/>
            <w:r>
              <w:rPr>
                <w:b/>
                <w:sz w:val="18"/>
              </w:rPr>
              <w:t>Ocena</w:t>
            </w:r>
          </w:p>
        </w:tc>
        <w:tc>
          <w:tcPr>
            <w:tcW w:type="dxa" w:w="7296"/>
            <w:shd w:fill="D9EAF7"/>
          </w:tcPr>
          <w:p>
            <w:pPr>
              <w:spacing w:after="20" w:line="228" w:lineRule="auto"/>
            </w:pPr>
            <w:r/>
            <w:r>
              <w:rPr>
                <w:b/>
                <w:sz w:val="18"/>
              </w:rPr>
              <w:t>Wymagania – uczeń w zakresie treści objętych daną klasyfikacją</w:t>
            </w:r>
          </w:p>
        </w:tc>
      </w:tr>
      <w:tr>
        <w:tc>
          <w:tcPr>
            <w:tcW w:type="dxa" w:w="7296"/>
          </w:tcPr>
          <w:p>
            <w:pPr>
              <w:spacing w:after="20" w:line="228" w:lineRule="auto"/>
            </w:pPr>
            <w:r/>
            <w:r>
              <w:rPr>
                <w:b/>
                <w:sz w:val="17"/>
              </w:rPr>
              <w:t>2 – dopuszczająca</w:t>
            </w:r>
          </w:p>
        </w:tc>
        <w:tc>
          <w:tcPr>
            <w:tcW w:type="dxa" w:w="7296"/>
          </w:tcPr>
          <w:p>
            <w:pPr>
              <w:spacing w:after="20" w:line="228" w:lineRule="auto"/>
            </w:pPr>
            <w:r/>
            <w:r>
              <w:rPr>
                <w:b w:val="0"/>
                <w:sz w:val="17"/>
              </w:rPr>
              <w:t>spełnia wymagania konieczne w zakresie pozwalającym wykazać podstawowe wiadomości i umiejętności określone w programie; rozpoznaje, nazywa, wskazuje, wymienia i wykonuje proste czynności zgodnie z wymaganiami przypisanymi do realizowanych tematów.</w:t>
            </w:r>
          </w:p>
        </w:tc>
      </w:tr>
      <w:tr>
        <w:tc>
          <w:tcPr>
            <w:tcW w:type="dxa" w:w="7296"/>
          </w:tcPr>
          <w:p>
            <w:pPr>
              <w:spacing w:after="20" w:line="228" w:lineRule="auto"/>
            </w:pPr>
            <w:r/>
            <w:r>
              <w:rPr>
                <w:b/>
                <w:sz w:val="17"/>
              </w:rPr>
              <w:t>3 – dostateczna</w:t>
            </w:r>
          </w:p>
        </w:tc>
        <w:tc>
          <w:tcPr>
            <w:tcW w:type="dxa" w:w="7296"/>
          </w:tcPr>
          <w:p>
            <w:pPr>
              <w:spacing w:after="20" w:line="228" w:lineRule="auto"/>
            </w:pPr>
            <w:r/>
            <w:r>
              <w:rPr>
                <w:b w:val="0"/>
                <w:sz w:val="17"/>
              </w:rPr>
              <w:t>spełnia wymagania konieczne oraz w podstawowym zakresie wymagania podstawowe; opisuje, klasyfikuje, odczytuje informacje, wyjaśnia proste zależności i wykonuje typowe zadania oraz obserwacje.</w:t>
            </w:r>
          </w:p>
        </w:tc>
      </w:tr>
      <w:tr>
        <w:tc>
          <w:tcPr>
            <w:tcW w:type="dxa" w:w="7296"/>
          </w:tcPr>
          <w:p>
            <w:pPr>
              <w:spacing w:after="20" w:line="228" w:lineRule="auto"/>
            </w:pPr>
            <w:r/>
            <w:r>
              <w:rPr>
                <w:b/>
                <w:sz w:val="17"/>
              </w:rPr>
              <w:t>4 – dobra</w:t>
            </w:r>
          </w:p>
        </w:tc>
        <w:tc>
          <w:tcPr>
            <w:tcW w:type="dxa" w:w="7296"/>
          </w:tcPr>
          <w:p>
            <w:pPr>
              <w:spacing w:after="20" w:line="228" w:lineRule="auto"/>
            </w:pPr>
            <w:r/>
            <w:r>
              <w:rPr>
                <w:b w:val="0"/>
                <w:sz w:val="17"/>
              </w:rPr>
              <w:t>spełnia wymagania konieczne i podstawowe oraz w odpowiednim zakresie wymagania rozszerzające; stosuje wiedzę, porównuje, charakteryzuje, interpretuje wyniki, wyjaśnia zależności i rozwiązuje typowe problemy przyrodnicze.</w:t>
            </w:r>
          </w:p>
        </w:tc>
      </w:tr>
      <w:tr>
        <w:tc>
          <w:tcPr>
            <w:tcW w:type="dxa" w:w="7296"/>
          </w:tcPr>
          <w:p>
            <w:pPr>
              <w:spacing w:after="20" w:line="228" w:lineRule="auto"/>
            </w:pPr>
            <w:r/>
            <w:r>
              <w:rPr>
                <w:b/>
                <w:sz w:val="17"/>
              </w:rPr>
              <w:t>5 – bardzo dobra</w:t>
            </w:r>
          </w:p>
        </w:tc>
        <w:tc>
          <w:tcPr>
            <w:tcW w:type="dxa" w:w="7296"/>
          </w:tcPr>
          <w:p>
            <w:pPr>
              <w:spacing w:after="20" w:line="228" w:lineRule="auto"/>
            </w:pPr>
            <w:r/>
            <w:r>
              <w:rPr>
                <w:b w:val="0"/>
                <w:sz w:val="17"/>
              </w:rPr>
              <w:t>spełnia wymagania niższych poziomów i w znacznym zakresie wymagania dopełniające; samodzielnie analizuje informacje, uzasadnia, wnioskuje, planuje obserwacje lub doświadczenia i poprawnie stosuje wiedzę w sytuacjach problemowych.</w:t>
            </w:r>
          </w:p>
        </w:tc>
      </w:tr>
      <w:tr>
        <w:tc>
          <w:tcPr>
            <w:tcW w:type="dxa" w:w="7296"/>
          </w:tcPr>
          <w:p>
            <w:pPr>
              <w:spacing w:after="20" w:line="228" w:lineRule="auto"/>
            </w:pPr>
            <w:r/>
            <w:r>
              <w:rPr>
                <w:b/>
                <w:sz w:val="17"/>
              </w:rPr>
              <w:t>6 – celująca</w:t>
            </w:r>
          </w:p>
        </w:tc>
        <w:tc>
          <w:tcPr>
            <w:tcW w:type="dxa" w:w="7296"/>
          </w:tcPr>
          <w:p>
            <w:pPr>
              <w:spacing w:after="20" w:line="228" w:lineRule="auto"/>
            </w:pPr>
            <w:r/>
            <w:r>
              <w:rPr>
                <w:b w:val="0"/>
                <w:sz w:val="17"/>
              </w:rPr>
              <w:t>spełnia wymagania niższych poziomów i w bardzo wysokim, niemal pełnym zakresie wymagania dopełniające przewidziane programem; samodzielnie i trafnie rozwiązuje problemy, łączy informacje, planuje działania badawcze, argumentuje i formułuje uzasadnione wnioski.</w:t>
            </w:r>
          </w:p>
        </w:tc>
      </w:tr>
    </w:tbl>
    <w:p>
      <w:r>
        <w:t>Ocena niedostateczna (1): uczeń nie spełnia wymagań koniecznych w zakresie umożliwiającym otrzymanie oceny dopuszczającej, mimo zastosowanego wsparcia i możliwości uzupełnienia braków. Sama aktywność, systematyczność, zachowanie lub udział w konkursie nie zastępują spełnienia wymagań edukacyjnych.</w:t>
      </w:r>
    </w:p>
    <w:p>
      <w:r>
        <w:br w:type="page"/>
      </w:r>
    </w:p>
    <w:p>
      <w:pPr>
        <w:pStyle w:val="Heading1"/>
      </w:pPr>
      <w:r>
        <w:t>4. WYMAGANIA ŚRÓDROCZNE</w:t>
      </w:r>
    </w:p>
    <w:p>
      <w:r>
        <w:t>Wymagania śródroczne obejmują treści zrealizowane do klasyfikacji śródrocznej. Zgodnie z planem wynikowym przyjęto jako planowany zakres I półrocza działy I–III (lekcje 1–50). Jeżeli tempo lub kolejność realizacji programu ulegnie zmianie, do klasyfikacji śródrocznej stosuje się odpowiednie wymagania z tabeli dla treści faktycznie zrealizowanych.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18"/>
        <w:gridCol w:w="2918"/>
        <w:gridCol w:w="2918"/>
        <w:gridCol w:w="2918"/>
        <w:gridCol w:w="2918"/>
      </w:tblGrid>
      <w:tr>
        <w:trPr>
          <w:tblHeader w:val="true"/>
        </w:trPr>
        <w:tc>
          <w:tcPr>
            <w:tcW w:type="dxa" w:w="2098"/>
            <w:shd w:fill="D9EAF7"/>
          </w:tcPr>
          <w:p>
            <w:pPr>
              <w:spacing w:after="20" w:line="228" w:lineRule="auto"/>
            </w:pPr>
            <w:r/>
            <w:r>
              <w:rPr>
                <w:b/>
                <w:sz w:val="16"/>
              </w:rPr>
              <w:t>Temat lekcji</w:t>
            </w:r>
          </w:p>
        </w:tc>
        <w:tc>
          <w:tcPr>
            <w:tcW w:type="dxa" w:w="3175"/>
            <w:shd w:fill="D9EAF7"/>
          </w:tcPr>
          <w:p>
            <w:pPr>
              <w:spacing w:after="20" w:line="228" w:lineRule="auto"/>
            </w:pPr>
            <w:r/>
            <w:r>
              <w:rPr>
                <w:b/>
                <w:sz w:val="16"/>
              </w:rPr>
              <w:t>Wymagania konieczne</w:t>
            </w:r>
          </w:p>
          <w:p>
            <w:pPr>
              <w:spacing w:after="20" w:line="228" w:lineRule="auto"/>
            </w:pPr>
            <w:r>
              <w:rPr>
                <w:b/>
                <w:sz w:val="16"/>
              </w:rPr>
              <w:t>(2)</w:t>
            </w:r>
          </w:p>
        </w:tc>
        <w:tc>
          <w:tcPr>
            <w:tcW w:type="dxa" w:w="3175"/>
            <w:shd w:fill="D9EAF7"/>
          </w:tcPr>
          <w:p>
            <w:pPr>
              <w:spacing w:after="20" w:line="228" w:lineRule="auto"/>
            </w:pPr>
            <w:r/>
            <w:r>
              <w:rPr>
                <w:b/>
                <w:sz w:val="16"/>
              </w:rPr>
              <w:t>Wymagania podstawowe</w:t>
            </w:r>
          </w:p>
          <w:p>
            <w:pPr>
              <w:spacing w:after="20" w:line="228" w:lineRule="auto"/>
            </w:pPr>
            <w:r>
              <w:rPr>
                <w:b/>
                <w:sz w:val="16"/>
              </w:rPr>
              <w:t>(3)</w:t>
            </w:r>
          </w:p>
        </w:tc>
        <w:tc>
          <w:tcPr>
            <w:tcW w:type="dxa" w:w="3175"/>
            <w:shd w:fill="D9EAF7"/>
          </w:tcPr>
          <w:p>
            <w:pPr>
              <w:spacing w:after="20" w:line="228" w:lineRule="auto"/>
            </w:pPr>
            <w:r/>
            <w:r>
              <w:rPr>
                <w:b/>
                <w:sz w:val="16"/>
              </w:rPr>
              <w:t>Wymagania rozszerzające</w:t>
            </w:r>
          </w:p>
          <w:p>
            <w:pPr>
              <w:spacing w:after="20" w:line="228" w:lineRule="auto"/>
            </w:pPr>
            <w:r>
              <w:rPr>
                <w:b/>
                <w:sz w:val="16"/>
              </w:rPr>
              <w:t>(4)</w:t>
            </w:r>
          </w:p>
        </w:tc>
        <w:tc>
          <w:tcPr>
            <w:tcW w:type="dxa" w:w="3175"/>
            <w:shd w:fill="D9EAF7"/>
          </w:tcPr>
          <w:p>
            <w:pPr>
              <w:spacing w:after="20" w:line="228" w:lineRule="auto"/>
            </w:pPr>
            <w:r/>
            <w:r>
              <w:rPr>
                <w:b/>
                <w:sz w:val="16"/>
              </w:rPr>
              <w:t>Wymagania dopełniające</w:t>
            </w:r>
          </w:p>
          <w:p>
            <w:pPr>
              <w:spacing w:after="20" w:line="228" w:lineRule="auto"/>
            </w:pPr>
            <w:r>
              <w:rPr>
                <w:b/>
                <w:sz w:val="16"/>
              </w:rPr>
              <w:t>(5–6)</w:t>
            </w:r>
          </w:p>
        </w:tc>
      </w:tr>
      <w:tr>
        <w:trPr>
          <w:cantSplit/>
        </w:trPr>
        <w:tc>
          <w:tcPr>
            <w:tcW w:type="dxa" w:w="14590"/>
            <w:gridSpan w:val="5"/>
            <w:shd w:fill="EAF2F8"/>
          </w:tcPr>
          <w:p>
            <w:pPr>
              <w:spacing w:after="20" w:line="228" w:lineRule="auto"/>
            </w:pPr>
            <w:r/>
            <w:r>
              <w:rPr>
                <w:b/>
                <w:sz w:val="18"/>
              </w:rPr>
              <w:t>Dział I. Przyroda wokół nas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1–2. Co to jest przyroda?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wyjaśnia, czym jest przyroda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rozróżnia elementy przyrody ożywionej i nieożywionej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najważniejsze czynności życiowe organizmów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definiuje pojęcie przyrody jako wszystkiego, co otacza człowieka i nie zostało przez niego stworzone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podaje przykłady obiektów stworzonych przez człowieka i odróżnia je od elementów naturalnych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7 czynności życiowych organizmów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podaje przykłady naturalnych składników przyrody ożywionej i nieożywionej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charakteryzuje poszczególne czynności życiowe organizmów, wskazując na ich znaczenie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na podstawie przeprowadzonego doświadczenia podręcznikowego formułuje wniosek, że żywe istoty reagują na bodźce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wyjaśnia i uzasadnia na konkretnych przykładach, że elementy ożywione i nieożywione są ze sobą ściśle powiązane i wzajemnie na siebie wpływają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uzasadnia na podstawie czynności życiowych, dlaczego obiekty nieożywione (np. odkurzacz, kosiarka automatyczna) nie są żywymi organizmami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3–5. Jak zostać dobrym obserwatorem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wymienia 5 głównych zmysłów człowieka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wskazuje podstawowe przyrządy służące do obserwacji i pomiarów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przyporządkowuje zmysłom odpowiednie narządy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omawia rolę mózgu jako centrum dowodzenia, które analizuje i interpretuje informacje z narządów zmysłów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dobiera odpowiedni przyrząd do określonej czynności badawczej i pomiarowej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podstawowe formy dokumentowania obserwacji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wyjaśnia, jakich konkretnych informacji dostarczają poszczególne zmysły i jak ich współpraca daje pełny obraz świata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opisuje po kolei 4 kroki prowadzenia prawidłowej obserwacji przyrodniczej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uzasadnia, dlaczego dokładny pomiar za pomocą narzędzi jest bardziej obiektywny niż szacowanie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wyjaśnia ograniczenia ludzkich zmysłów i na podstawie doświad-czenia wyciąga wniosek, że zmysły bywają zawodne i mogą wprowadzać w błąd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samodzielnie planuje kompletną obserwację przyrodniczą mającą na celu odpowiedź na pytanie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uzasadnia, dlaczego badacz przyrody używa zmysłu smaku rzadko, zawsze bardzo ostrożnie i pod opieką dorosłych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6–8. Jak zostać dobrym badaczem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podaje, że badacz stosuje metodę naukową w celu odkrywania prawdy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odróżnia proste stwierdzenie rzeczywistego faktu od osobistej opinii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wymienia po kolei 5 głównych etapów metody naukowej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 pojęcie hipotezy jako próbnej odpowiedzi na pytanie badawcze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wskazuje, czym się różni fakt od opinii na podstawie przykładów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formułuje poprawne pytanie badawcze i hipotezę wyjaśniającą do podanego problemu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na podstawie doświadczenia formułuje wniosek o subiektywności odczuć dotykowych i konieczności stosowania termometru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poprawnie klasyfikuje podany zestaw zdań jako fakty lub opinie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planuje proste doświadczenie przyrodnicze, aby zweryfikować postawione pytania badawcze i hipotezy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uzasadnia konieczność wielo-krotnego powtarzania badań oraz rzetelnej analizy wyników przed wyciągnięciem wniosków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wyjaśnia, dlaczego odrzucona w toku badań hipoteza nie oznacza porażki badacza, lecz stanowi wartościowy krok w nauce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9–10. Kierunki świata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wymienia cztery główne kierunki świata i podaje ich symbole literowe (N, S, E, W)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wskazuje kompas jako podstawowy przyrząd służący do wyznaczania kierunków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opisuje zasady korzystania z kom-pasu krok po kroku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wyznacza główne kierunki świata w terenie lub klasie za pomocą kompasu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określa kierunek geograficzny, w którym zwrócony jest cień człowieka w połowie dnia w Polsce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wymienia kierunki pośrednie i wskazuje je na graficznym schemacie róży wiatrów;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opisuje metodę wyznaczania kierunków świata za pomocą cienia gnomonu około godz.12:00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określa wzajemne położenie obiektów przy użyciu kierunków świata na schematycznym planie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analizuje zmiany długości cienia oraz jego kierunku w ciągu dnia, wyciągając wnioski dotyczące wysokości Słońca nad widnokręgiem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rozwiązuje zadania topograficzne i określa ostateczny kierunek marszu po wykonaniu serii zwrotów pod kątem prostym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wyjaśnia, że kierunki świata to stałe kierunki odniesienia wynikające z ruchu obrotowego Ziemia wokół własnej osi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11–12. Kodeks przyrodnika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wymienia podstawowe zasady bezpiecznego zachowania się podczas wyjść terenowych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wyjaśnia, że las, park czy łąka to naturalny dom roślin i zwierząt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omawia trzy podstawowe filary Kodeksu młodego przyrodnika: zachowanie bezpieczeństwa, okazywanie szacunku naturze, zabieranie śmieci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wskazuje elementy odpowiedniego stroju ochronnego na wyprawę do lasu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6 kolejnych etapów prawidłowego planowania wyjścia w teren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uzasadnia, dlaczego krótki strój lub klapki stanowią zagrożenie dla zdrowia i bezpieczeństwa na leśnej ścieżce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 negatywne konsekwencje nieodpowiedzialnych zachowań w terenie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analizuje i porównuje czas rozkładania się poszczególnych rodzajów odpadów, posługując się osią czasu (z podręcznika)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samodzielnie projektuje szczegó-łowy plan wycieczki do lasu, opisując każdy z punktów przygotowania do wyprawy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argumentuje w sposób proekolo-giczny, dlaczego porzucone odpady stanowią śmiertelną pułapkę dla owadów i gryzoni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formułuje hasła i zasady zachowania się w terenie w postaci pozytywnych instrukcji, unikając formy zakazów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13–14. Podsumowanie działu I – Przyroda wokół nas. Sprawdzenie wiadomości z działu I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rozwiązuje najprostsze zadania testowe oparte na bezpośrednim, pamięciowym odtwarzaniu faktów i definicji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samodzielnie wykonuje zadania testowe sprawdzające poprawne rozumienie pojęć, etapów badawczych i zasad bezpieczeństwa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poprawnie stosuje wiedzę z działu I do analizy typowych sytuacji szkolnych i praktycznych zadań terenowych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samodzielnie rozwiązuje zaawansowane, nietypowe zadania problemowe (np. z sekcji „Biuro Tropicieli Przyrody”), wykazując się naukowym stylem myślenia</w:t>
            </w:r>
          </w:p>
        </w:tc>
      </w:tr>
      <w:tr>
        <w:trPr>
          <w:cantSplit/>
        </w:trPr>
        <w:tc>
          <w:tcPr>
            <w:tcW w:type="dxa" w:w="14590"/>
            <w:gridSpan w:val="5"/>
            <w:shd w:fill="EAF2F8"/>
          </w:tcPr>
          <w:p>
            <w:pPr>
              <w:spacing w:after="20" w:line="228" w:lineRule="auto"/>
            </w:pPr>
            <w:r/>
            <w:r>
              <w:rPr>
                <w:b/>
                <w:sz w:val="18"/>
              </w:rPr>
              <w:t>II. W terenie i najbliższym otoczeniu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15–16. Rośliny naszej okolicy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wyjaśnia, czym jest bioróżnorodność roślinna w środowisku przyrodniczym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odróżnia rośliny zielne od drzewiastych na podstawie twardości łodyg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podstawowe grupy roślin rosnących w jego najbliższej okolicy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definiuje bioróżnorodność jako występowanie wielu gatunków roślin na jednym obszarze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opisuje cechy roślin drzewiastych (zdrewniały pień, gałęzie, kora) oraz roślin zielnych (miękka, zielona, nie zdrewniała łodyga)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dzieli rośliny drzewiaste na drzewa, krzewy, krzewinki i pnącza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rozróżnia rośliny liściaste o płaskich blaszkach i rośliny iglaste o liściach w postaci igieł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dzieli rośliny ze względu na sposób rozmnażania na zarodnikowe i nasienne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wyjaśnia znaczenie bioróżnorodności dla odporności i zdrowia środowiska (np. podczas suszy i powodzi)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charakteryzuje mchy, paprocie i skrzypy jako rośliny zarodnikowe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opisuje cechy budowy mchów (poduszki) , skrzypów (człony jak małe choinki) oraz paproci (duże pierzaste liście)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wskazuje podstawowe cechy roślin nasiennych (wytwarzanie kwiatów oraz nasion)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uzasadnia, w jaki sposób budowa roślin drzewiastych pomaga im znosić mrozy i brak wody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 różnice w trwałości i przeżywaniu zimy przez rośliny zielne jednoroczne oraz wieloletnie byliny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potrafi samodzielnie skonstruować prasę do roślin i prowadzić tradycyjny lub fotograficzny zielnik wraz z notatkami z obserwacji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17–19. Zwierzęta naszej okolicy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rozpoznaje wybrane zwierzęta żyjące w najbliższej okolicy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podaje, że świat zwierząt dzieli się na bezkręgowce i kręgowce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proste przykłady śladów obecności zwierząt w terenie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wyjaśnia różnicę między bezkręgowcami (brak wewnętrznego szkieletu) a kręgowcami (sztywny szkielet z kręgosłupem i czaszką)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charakteryzuje owady (6 nóg, podział na 3 części), pajęczaki (8 nóg, podział na 2 części) oraz mięczaki (miękkie ciało, nagie lub w muszli)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przyporządkowuje kręgowce do ryb, płazów, gadów, ptaków i ssaków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podaje podstawowe cechy każdej z grup kręgowców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rozpoznaje i interpretuje ślady obecności zwierząt w postaci tropów, piór, mrowisk, pajęczyn, zgryzionych szyszek czy dziur w liściach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opisuje rolę i funkcję szkieletu zewnętrznego (pancerza) u wybranych bezkręgowców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podaje przykłady bezkręgowców (krzyżak, kowal, winniczek, dżdżownica) i kręgow-ców (dymówka, mazurek, wiewiórka, jeż, żaba trawna)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w, jak obecność sztywnego szkieletu wewnętrznego wpływa na możliwość osiągania dużych rozmiarów ciała przez kręgowce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 znaczenie dżdżownicy w procesie spulchniania gleby i użyźniania podłoża dla roślin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analizuje zależność między różnorodnością zwierząt a zdrowiem środowiska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 znaczenie nauki tropienia i rozpoznawania śladów dla ochrony przyrody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20–21. Grzyby kapeluszowe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podaje, że grzyby stanowią odrębną grupę organizmów (nie są roślinami ani zwierzętami)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wskazuje podstawowe części budowy owocnika grzyba kapeluszowego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rozróżnia grzyby jadalne, niejadalne i trujące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opisuje budowę grzyba kapeluszowego, wyróżniając podziemną grzybnię ze strzępek oraz nadziemny owocnik (kapelusz i trzon)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wyjaśnia, że owocnik służy wyłącznie do rozsiewania zarodników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opisuje sposób odżywiania się grzybów polegający na pobieraniu substancji z martwych szczątków organicznych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podaje przykłady zastosowania grzybów przez człowieka w kuchni i produkcji żywności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na podstawie przeprowadzo-nego doświadczenia („Magiczny pył”) formułuje wniosek o wysypywaniu się zarodników ze spodniej strony kapelusza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omawia znaczenie grzybów w przyrodzie (rozkład materii, użyźnianie gleby, pokarm dla zwierząt)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objaśnia zjawisko współpracy grzybni z korzeniami drzew leśnych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podaje przykłady wykorzystania pożytecznych grzybów w medycy-nie (produkcja antybiotyków, witamin)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wyjaśnia metaforę „leśnego internetu” jako sieci chemicznej i elektrycznej komunikacji między grzybami a roślinami za pośredni-ctwem grzybni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analizuje i przewiduje negatywne skutki dla ekosystemu leśnego w przypadku całkowitego zniknięcia z niego grzybów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uzasadnia, dlaczego podziemna grzybnia, a nie nadziemny owocnik, jest najważniejszą częścią organizmu dla przetrwania grzyba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22–24. Niebezpieczne rośliny, grzyby i zwierzęta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wymienia przykłady niebezpiecznych organizmów (roślin, grzybów i zwierząt) występujących w Polsce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zna podstawową zasadę bezpieczeństwa zakazującą dotykania i zbierania nieznanych obiektów przyrodniczych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rozpoznaje trujące rośliny (barszcz Sosnowskiego, cis pospolity, konwalia majowa, śnieguliczka biała) i opisuje objawy kontaktu z nimi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odróżnia borówkę czarną (krzewinka, granatowe owoce) od trującej wilczej jagody (krzew, czarne owoce z zieloną gwiazdką)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dzieli grzyby kapeluszowe na rurkowe (z gąbką) i blaszkowe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wyjaśnia różnicę między zwierzętami jadowitymi (wstrzy-kującymi jad przez żądło lub zęby) a trującymi (posiadającymi truciznę w ciele/skórze)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opisuje różnice w budowie i działaniu żądła pszczoły (z haczykami, zostaje w ranie) oraz osy (gładkie, wielokrotne żądlenie)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omawia zasady pierwszej pomocy przy użądleniu owadów oraz kontakcie z barszczem Sosnowskiego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objawy użądlenia wymagające natychmiastowej pomocy lekarskiej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uzasadnia, dlaczego początkujący grzybiarz powinien zbierać wyłącznie grzyby rurkowe (z gąbką)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 mechanizm działania śmiertelnie trującego muchomora zielonawego oraz uzasadnia konieczność delikatnego wykręcania owocników (poszukiwanie pochwy)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 procedurę pierwszej pomocy po ukąszeniu żmii zygzakowatej (pozycja leżąca, unieruchomienie kończyny poniżej serca, jałowy opatrunek)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tłumaczy znaczenie jaskrawego ubarwienia u zwierząt trujących (np. salamandry plamistej) jako sygnału ostrzegawczego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25–26. Skały najbliższej okolicy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wyjaśnia, czym jest skała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podaje proste przykłady skał występujących w Polsce (np. piasek, węgiel kamienny, granit)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wymienia trzy główne grupy skał ze względu na sposób powstania: magmowe, osadowe i przeobrażone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opisuje właściwości fizyczne skał badane podczas doświadczenia: kolor, spójność (sypka, zwięzła, lita) oraz twardość (test gwoździa)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charakteryzuje piasek (osadowa, sypka, twarde ziarna) oraz węgiel kamienny (osadowa, zwięzła, czarna, łatwo się spala, brudzi dłonie)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przykłady zastosowania skał przez człowieka w codziennym życiu i budownictwie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wyjaśnia proces powstawania skał magmowych (z magmy), osadowych (z osadzania szczątków/materiału) oraz przeobrażonych (pod wpływem temperatury i nacisku)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charakteryzuje wapień (osadowa, lita, powstaje ze szczątków morskich, rozpuszcza się w wodzie z CO2) oraz kredę (odmiana wapienia, miękka, brudzi dłonie)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opisuje cechy granitu (skała magmowa, lita, twarda, widoczne kryształki minerałów) i marmuru (skała przeobrażona, lita, ozdobne żyłki)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wskazuje praktyczne wykorzy-stanie skał (glina – w ceramice, piasek – do produkcji szkła, granit – na blaty, nagrobki, kostkę brukową, wapień – do produkcji cementu)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na podstawie opisu właściwości i analizy próbek w doświadczeniu identyfikuje dany rodzaj skały przy użyciu atlasu skał i minerałów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 proces powstawania jaskiń w skałach wapiennych w wyniku powolnego rozpuszczania przez wodę zawierającą dwutlenek węgla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uzasadnia plastyczne właściwości gliny po nasączeniu wodą i jej znaczenie w wyrobie ceramiki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wyjaśnia, z jakich materiałów pierwotnych uformował się węgiel kamienny (szczątki roślin), wapień (szczątki zwierząt morskich) oraz marmur (z wapieni)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27–29. Krajobraz wokół nas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definiuje pojęcie krajobrazu jako wszystkiego, co widać wokół poza budynkiem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odróżnia elementy naturalne krajobrazu od elementów wprowadzonych przez człowieka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dzieli składniki krajobrazu na elementy przyrody ożywionej, nieożywionej oraz antropogeniczne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elementy przyrody nieożywionej tworzące krajobraz (rzeźba terenu, wody, skały, gleby, pogoda)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rozróżnia formy ukształtowania powierzchni na wypukłe (pagórek, wzgórze, góra) oraz wklęsłe (dolina, kotlina)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definiuje teren równinny jako obszar zdominowany przez płaskie powierzchnie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trzy główne typy krajobrazu: pierwotny, naturalny i antropogeniczny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charakteryzuje poszczególne formy wypukłe (pagórek – niewielkie wzniesienie, wzgórze – większe niż pagórek, góra – wysoka, stroma) oraz wklęsłe (dolina – podłużne obniżenie z rzeką, kotlina – rozległe obniże-nie otoczone wyższym terenem)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opisuje cechy krajobrazu pierwotnego (brak śladów obec-ności człowieka), naturalnego (niewielkie zmiany, dominacja przyrody) i antropogenicznego (ukształtowany przez człowieka, przewaga elementów antropo-genicznych)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podaje przykłady negatywnych skutków przekształcania krajobra-zu przez człowieka (zanieczyszcze-nia, niszczenie przyrody, odpady)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przeprowadza samodzielną obserwację i szczegółowo opisuje krajobraz najbliższej okolicy szkoły za pomocą karty krajoznawcy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uzasadnia klasyfikację pola uprawnego, wsi lub miasta jako elementów krajobrazu antropogenicznego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analizuje i wyjaśnia zmiany w krajobrazie (np. wycinanie lasów na przestrzeni tysięcy lat pod pola i pastwiska) pod kątem potrzeb rozwojowych człowieka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30–31. Podsumowanie działu II. Sprawdzenie wiadomości z działu II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rozwiązuje najprostsze zadania testowe oparte na bezpośrednim, pamięciowym odtwarzaniu faktów i definicji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samodzielnie wykonuje zadania testowe i krótkiego zapisu sprawdza-jące poprawne rozumienie cech organizmów, właściwości skał i typów krajobrazu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poprawnie stosuje wiedzę z działu II do analizy typowych sytuacji szkolnych, praktycznych zadań terenowych oraz rozpoznawania gatunków i skał.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samodzielnie rozwiązuje zadania problemowe (np. z sekcji „Biuro Tropicieli Przyrody”), wykazując się pełnym opanowaniem celów oraz naukowym stylem myślenia</w:t>
            </w:r>
          </w:p>
        </w:tc>
      </w:tr>
      <w:tr>
        <w:trPr>
          <w:cantSplit/>
        </w:trPr>
        <w:tc>
          <w:tcPr>
            <w:tcW w:type="dxa" w:w="14590"/>
            <w:gridSpan w:val="5"/>
            <w:shd w:fill="EAF2F8"/>
          </w:tcPr>
          <w:p>
            <w:pPr>
              <w:spacing w:after="20" w:line="228" w:lineRule="auto"/>
            </w:pPr>
            <w:r/>
            <w:r>
              <w:rPr>
                <w:b/>
                <w:sz w:val="18"/>
              </w:rPr>
              <w:t>Dział III. Materia i jej przemiany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32–34. Lód, kałuża, para wodna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definiuje pojęcie materii jako wszystkiego, co nas otacza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trzy podstawowe stany skupienia materii i podaje ich proste przykłady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podaje, że materia składa się z niewidocznych gołym okiem, bardzo małych drobin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opisuje właściwości ciał stałych (zachowują kształt i objętość), cieczy (zmieniają kształt, zachowują objętość) oraz gazów (nie zachowują kształtu ani objętości)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wykazuje na podstawie doświad-czenia ze strzykawką, że gazy można ścisnąć, a ciecze i ciała stałe są nieściśliwe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klasyfikuje podane substancje z życia codziennego do odpowiednich stanów skupienia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wyjaśnia różnice między ciałami stałymi, cieczami i gazami na poziomie mikroświata, opisując ułożenie i swobodę ruchu drobin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opisuje zachowanie cieczy w naczyniu (przyjmowanie kształtu naczynia, płaska i pozioma powierzchnia) oraz gazu (rozchodzenie się po całej dostępnej przestrzeni)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odróżnia ciała stałe od cieczy i gazów za pomocą kryterium makroskopowego (obiekt daje się podnieść, nie rozpływa się po podniesieniu go)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analizuje i wyjaśnia na poziomie drobinowym, dlaczego człowiek może swobodnie przejść przez pokój wypełniony powietrzem, ale nie może przejść przez litą ścianę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rozstrzyga stan skupienia sub-stancji i przedmiotów o specyficznej strukturze (np. wykazuje ekspery-mentalnie lub teoretycznie, że gąbka oraz sypki piasek to ciała stałe, a nie ciecze)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określa stan skupienia wody na podstawie schematycznych rysun-ków przedstawiających ułożenie drobin w zamkniętym naczyniu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35–37. Przemiany wody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wymienia i poprawnie nazywa cztery podstawowe procesy przemian stanów skupienia wody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przyporządkowuje nazwy procesów do odpowiednich zmian stanów skupienia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definiuje procesy: topnienia, krzep-nięcia, parowania oraz skraplania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wskazuje, że stan skupienia wody zależy bezpośrednio od jej tempe-ratury (ogrzewania lub chłodzenia)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podaje przykłady występowania przemian wody w przyrodzie i technice (np. powstawanie lodu, sztuczny śnieg, zamrażanie żywności)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objaśnia mechanizm topnienia i krzepnięcia z wykorzystaniem zachowania drobin oraz pobierania lub oddawania ciepła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poprawnie odróżnia proces topnienia (zmiana stanu skupienia ze stałego w ciekły) od procesu rozpuszczania substancji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analizuje i wyjaśnia czynniki wpływające na tempo parowania cieczy (temperatura otoczenia oraz wielkość powierzchni parowania)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obala powszechny mit naukowy i udowadnia, że przezroczysta i bezbarwna para wodna jest niewi-doczna, a obserwowany obłoczek nad czajnikiem lub „dym” z ust zimą to kropelki skroplonej wody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tworzy logiczną opowieść („przy-gody drobiny”) opisującą zmiany energii i ułożenia drobin w zam-kniętym cyklu przemian (np. woda -&gt; zamrażarka -&gt; kostka lodu w soku)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analizuje stany skupienia wody w układach zamkniętych przetrzymy-wanych w różnych temperaturach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38–39. Rozpuszczamy w wodzie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wie, na czym polega proces rozpuszczania substancji w wodzie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podaje proste przykłady substancji z życia codziennego, które rozpuszczają się w wodzie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podaje, że substancja rozpuszczona nie znika, lecz pozostaje w wodzie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definiuje pojęcia: produkt rozpuszczany oraz rozpuszczalnik, wskazując wodę jako uniwersalny rozpuszczalnik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klasyfikuje substancje na rozpuszczalne (cukier, glukoza, mydło) i nierozpuszczalne w zimnej wodzie (piasek, olej)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3 sposoby przyspieszania procesu rozpuszczania: mieszanie, rozdrobnienie substancji, podgrzanie wody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wyjaśnia proces rozpuszczania na poziomie mikroskopowym (drobiny rozpuszczanego składni-ka są równomiernie rozmieszczo-ne między drobinami wody)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omawia znaczenie procesu roz-puszczania w codziennym życiu człowieka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 znaczenie rozpuszcza-nia soli mineralnych w glebie dla wzrostu i prawidłowego funkcjonowania roślin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planuje i przeprowadza doświadczenie badające wpływ temperatury wody na szybkość rozpuszczania wybranej substancji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ocenia ekologiczne skutki wycieku ropy naftowej z tankowców, podając argumenty o jej nierozpuszczalności w wodzie i niszczącym wpływie na pióra ptaków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40–42. Mieszamy i rozdzielamy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definiuje mieszaninę jako połączenie co najmniej dwóch różnych składników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potrafi na podstawie analizy etykiety produktu (np. budyniu) wykazać, że jest on mieszaniną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rozdziela mechanicznie (np. dłońmi) mieszaniny o dużych składnikach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definiuje i odróżnia mieszaniny jednorodne (składników nie widać gołym okiem ani przez proste przyrządy optyczne) od niejednorodnych (składniki są widoczne)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przyporządkowuje podane przykłady do mieszanin jednorodnych (np. stal, powietrze) lub niejednorodnych (np. beton, musli, woda z olejem)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i dobiera metody rozdzielania mieszanin niejednorodnych oraz jednorodnych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opisuje i charakteryzuje metody rozdzielania mieszanin niejednorodnych: opadanie, zlewanie znad osadu oraz sączenie (filtrowanie)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opisuje metody rozdzielania mieszanin jednorodnych: odparowywanie oraz krystalizację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 przebieg rozdzielania substancji na podstawie przeprowadzonych doświadczeń (kreda z wodą, spirytus salicylowy, hodowla kryształków ałunu)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analizuje problem i wyjaśnia, dlaczego zblendowana na gładki krem zupa warzywna lub musztarda mogą być uznane za mieszaniny jednorodne (choć nimi nie są)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podaje przykład nerek jako naturalnych, zaawansowanych filtrów rozdzielających mieszaniny w organizmie człowieka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planuje wieloetapowy ekspery-ment pozwalający na całkowite rozdzielenie czystych składników z mieszaniny ciał stałych: rozpuszcza-lnego i nierozpuszczalnego (np. piasku i soli)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43–45. Badamy wodę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wymienia podstawowe właściwości czystej wody (bezbarwna w małych ilościach, przezroczysta, bezwonna, doskonały rozpuszczalnik)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podaje dokładną masę 1 litra ciekłej wody (1 kg)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podaje temperaturę wrzenia wody (100°C) oraz temperaturę topnienia lodu i krzepnięcia wody (0°C)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definiuje pojęcie wrzenia jako gwałtownego parowania w całej objętości cieczy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podaje, że podczas zamarzania woda zwiększa swoją objętość i dlatego lód pływa po jej powierzchni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wyjaśnia anomalne właściwości lodu (większa objętość, mniejsza gęstość niż woda ciekła) i opisuje ich zbawienne znaczenie ekologiczne dla przetrwania organizmów wodnych zimą (lód jako termos)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objaśnia znaczenie puszystej warstwy śniegu jako ochronnej kołdry izolującej ziemię, korzenie roślin i małe zwierzęta przed silnym mrozem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omawia negatywne skutki zamarzania wody w tkankach roślin (rozrywanie komórek przez ostre kryształki lodu)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wyjaśnia destrukcyjny wpływ zamarzającej wody na infrastrukturę człowieka (np. powstawanie dziur w asfalcie zimą, pękanie słoików lub rur z wodą)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analizuje zmiany temperatury wrzenia wody w zależności od wa-runków zewnętrznych (np. na Mount Everest w 70°C, w gejzerach: 140°C)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 fakt, że podczas topnienia lodu lub wrzenia wody ich tempera-tura pozostaje stała mimo ciągłego dostarczania ciepła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46–48. Krążenie wody w przyrodzie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opisuje podstawowy schemat krążenia wody w naturze przy użyciu pojęć: parowanie, skraplanie, opad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wskazuje te procesy na schemacie graficznym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definiuje obieg wody w przyrodzie jako ciągły ruch i zmianę stanów skupienia wody na Ziemi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opisuje kluczową, napędową rolę Słońca jako źródła ciepła umożliwia-jącego parowanie i zapobiegającego zamarznięciu wód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definiuje mgłę jako chmurę unoszącą się tuż przy powierzchni ziemi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obala powszechne mity i poprawnie definiuje chmury oraz mgłę jako skupiska kropelek cieczy lub kryształków lodu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opisuje rzeczywisty kształt spadających kropel deszczu (małe są kuliste, duże spłaszczają się od dołu na kształt bułki)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opisuje proces parowania wody z powierzchni roślin (transpiracja / „pocenie się” roślin) na podstawie doświadczenia z torebką foliową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analizuje globalną strukturę zasobów wodnych Ziemi, odróżniając wodę słoną od deficytowej wody słodkiej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ocenia wpływ działalności człowieka (betonowanie miast, osuszanie mokradeł, wycinanie lasów) na zaburzenia bilansu wodnego i powstawanie suszy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przewiduje globalne klimatyczne zagrożenia wynikające z przyspieszającego topnienia lodowców (powodzie, podnoszenie poziomu oceanów, utrata rezerwuarów słodkiej wody)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49–50. Podsumowanie wiadomości z działu III. Sprawdzenie wiadomości z działu III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rozwiązuje najprostsze zadania testowe oparte na bezpośrednim, pamięciowym odtwarzaniu faktów i podstawowych definicji stanów skupienia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samodzielnie wykonuje zadania testowe i krótkiego zapisu sprawdzające rozumienie procesów przemian fazowych, rozpuszczania i klasyfikacji mieszanin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poprawnie stosuje wiedzę o przemianach materii i właściwo-ściach wody do analizy typowych zjawisk z życia codziennego oraz prostych doświadczeń laboratoryjnych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samodzielnie i bezbłędnie rozwiązuje zadania problemowe (np. z sekcji „Biuro Tropicieli Przyrody”), wykazując się logicznym, naukowym stylem myślenia oraz precyzyjną argumentacją</w:t>
            </w:r>
          </w:p>
        </w:tc>
      </w:tr>
    </w:tbl>
    <w:p>
      <w:r>
        <w:br w:type="page"/>
      </w:r>
    </w:p>
    <w:p>
      <w:pPr>
        <w:pStyle w:val="Heading1"/>
      </w:pPr>
      <w:r>
        <w:t>5. WYMAGANIA ROCZNE</w:t>
      </w:r>
    </w:p>
    <w:p>
      <w:r>
        <w:t>Wymagania roczne obejmują cały materiał zrealizowany w klasie IV. Aby otrzymać daną roczną ocenę klasyfikacyjną, uczeń spełnia wymagania śródroczne na ten poziom oraz odpowiednie wymagania dotyczące treści zrealizowanych w II półroczu, wskazane poniżej. Ocena roczna nie jest oceną wyłącznie za II półrocze.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18"/>
        <w:gridCol w:w="2918"/>
        <w:gridCol w:w="2918"/>
        <w:gridCol w:w="2918"/>
        <w:gridCol w:w="2918"/>
      </w:tblGrid>
      <w:tr>
        <w:trPr>
          <w:tblHeader w:val="true"/>
        </w:trPr>
        <w:tc>
          <w:tcPr>
            <w:tcW w:type="dxa" w:w="2098"/>
            <w:shd w:fill="D9EAF7"/>
          </w:tcPr>
          <w:p>
            <w:pPr>
              <w:spacing w:after="20" w:line="228" w:lineRule="auto"/>
            </w:pPr>
            <w:r/>
            <w:r>
              <w:rPr>
                <w:b/>
                <w:sz w:val="16"/>
              </w:rPr>
              <w:t>Temat lekcji</w:t>
            </w:r>
          </w:p>
        </w:tc>
        <w:tc>
          <w:tcPr>
            <w:tcW w:type="dxa" w:w="3175"/>
            <w:shd w:fill="D9EAF7"/>
          </w:tcPr>
          <w:p>
            <w:pPr>
              <w:spacing w:after="20" w:line="228" w:lineRule="auto"/>
            </w:pPr>
            <w:r/>
            <w:r>
              <w:rPr>
                <w:b/>
                <w:sz w:val="16"/>
              </w:rPr>
              <w:t>Wymagania konieczne</w:t>
            </w:r>
          </w:p>
          <w:p>
            <w:pPr>
              <w:spacing w:after="20" w:line="228" w:lineRule="auto"/>
            </w:pPr>
            <w:r>
              <w:rPr>
                <w:b/>
                <w:sz w:val="16"/>
              </w:rPr>
              <w:t>(2)</w:t>
            </w:r>
          </w:p>
        </w:tc>
        <w:tc>
          <w:tcPr>
            <w:tcW w:type="dxa" w:w="3175"/>
            <w:shd w:fill="D9EAF7"/>
          </w:tcPr>
          <w:p>
            <w:pPr>
              <w:spacing w:after="20" w:line="228" w:lineRule="auto"/>
            </w:pPr>
            <w:r/>
            <w:r>
              <w:rPr>
                <w:b/>
                <w:sz w:val="16"/>
              </w:rPr>
              <w:t>Wymagania podstawowe</w:t>
            </w:r>
          </w:p>
          <w:p>
            <w:pPr>
              <w:spacing w:after="20" w:line="228" w:lineRule="auto"/>
            </w:pPr>
            <w:r>
              <w:rPr>
                <w:b/>
                <w:sz w:val="16"/>
              </w:rPr>
              <w:t>(3)</w:t>
            </w:r>
          </w:p>
        </w:tc>
        <w:tc>
          <w:tcPr>
            <w:tcW w:type="dxa" w:w="3175"/>
            <w:shd w:fill="D9EAF7"/>
          </w:tcPr>
          <w:p>
            <w:pPr>
              <w:spacing w:after="20" w:line="228" w:lineRule="auto"/>
            </w:pPr>
            <w:r/>
            <w:r>
              <w:rPr>
                <w:b/>
                <w:sz w:val="16"/>
              </w:rPr>
              <w:t>Wymagania rozszerzające</w:t>
            </w:r>
          </w:p>
          <w:p>
            <w:pPr>
              <w:spacing w:after="20" w:line="228" w:lineRule="auto"/>
            </w:pPr>
            <w:r>
              <w:rPr>
                <w:b/>
                <w:sz w:val="16"/>
              </w:rPr>
              <w:t>(4)</w:t>
            </w:r>
          </w:p>
        </w:tc>
        <w:tc>
          <w:tcPr>
            <w:tcW w:type="dxa" w:w="3175"/>
            <w:shd w:fill="D9EAF7"/>
          </w:tcPr>
          <w:p>
            <w:pPr>
              <w:spacing w:after="20" w:line="228" w:lineRule="auto"/>
            </w:pPr>
            <w:r/>
            <w:r>
              <w:rPr>
                <w:b/>
                <w:sz w:val="16"/>
              </w:rPr>
              <w:t>Wymagania dopełniające</w:t>
            </w:r>
          </w:p>
          <w:p>
            <w:pPr>
              <w:spacing w:after="20" w:line="228" w:lineRule="auto"/>
            </w:pPr>
            <w:r>
              <w:rPr>
                <w:b/>
                <w:sz w:val="16"/>
              </w:rPr>
              <w:t>(5–6)</w:t>
            </w:r>
          </w:p>
        </w:tc>
      </w:tr>
      <w:tr>
        <w:trPr>
          <w:cantSplit/>
        </w:trPr>
        <w:tc>
          <w:tcPr>
            <w:tcW w:type="dxa" w:w="14590"/>
            <w:gridSpan w:val="5"/>
            <w:shd w:fill="EAF2F8"/>
          </w:tcPr>
          <w:p>
            <w:pPr>
              <w:spacing w:after="20" w:line="228" w:lineRule="auto"/>
            </w:pPr>
            <w:r/>
            <w:r>
              <w:rPr>
                <w:b/>
                <w:sz w:val="18"/>
              </w:rPr>
              <w:t>Dział IV. Planeta Ziemia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51–52. Kontynenty i oceany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podaje, że Ziemia ma kształt zbliżony do kuli, a jej pomniejszonym modelem jest globus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wskazuje na globusie i mapie obszary wodne (niebieskie) oraz lądowe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nazwy kilku kontynentów i oceanów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podaje, że linia obrotu Ziemi przechodzi przez bieguny geograficzne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wskazuje na globusie i mapie świata 7 kontynentów (Azja, Afryka, Ameryka Północna, Ameryka Południowa, Antarktyda, Europa, Australia) oraz 5 oceanów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definiuje pojęcia: południk, równoleżnik oraz równik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lokalizuje na mapie i globusie biegun północny oraz biegun południowy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określa położenie Polski na odpo-wiednim kontynencie (Europa) oraz półkulach (północnej i wschodniej)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opisuje cechy południków (kształt półokręgów, łączą biegu-ny, równa długość) i równoleż-ników (kształt okręgów, różna długość, maleją ku biegunom)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 rolę równika (podział na półkule: północną i południo-wą) oraz linii południków 0° i 180° (podział na półkule: wschodnią i zachodnią)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lokalizuje na globusie i mapie zwrotnik Raka, zwrotnik Koziorożca i koła podbiegunowe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odróżnia wyspę i archipelag od kontynentu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wyjaśnia różnicę między siatką geograficzną na globusie a siatką kartograficzną na mapie, wskazując na nieuchronność zniekształceń przy przenoszeniu kuli na płaszczyznę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uzasadnia pojęcia: Eurazja (szerokie połączenie lądowe) oraz wszechocean (połączenie wszystkich oceanów)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53–54. Mapa i plan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odróżnia precyzyjną mapę i plan od szkicu terenu (odręczny rysunek, bez pomiarów, uproszczony)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wskazuje podstawowe elementy mapy i planu (tytuł, legenda, skala, treść)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odczytuje proste informacje punktowe i powierzchniowe z legendy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definiuje pojęcia: szkic, plan (obraz małego fragmentu powierzchni, widziany z góry), mapa (obraz dużej części powierzchni)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objaśnia rolę legendy jako wyjeśnienia znaków użytych na mapie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opisuje pojęcie skali na mapie jako informacji, ile razy pomniejszono rzeczywiste rozmiary obszaru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odczytuje znaki na mapie i planie, posługując się legendą (np. lokalizuje lasy, szlaki, wyciągi, placówki medyczne)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wykonuje poprawny szkic (np. sali lekcyjnej) z zachowaniem proporcji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na podstawie doświadczeń („Ja w lustrze” / „Mistrzowie pomniej-szania”) objaśnia matematyczną zasadę pomniejszania wymiarów w określonej skali liniowej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samodzielnie projektuje zestaw piktogramów (znaki punktowe) do planu najbliższego otoczenia szkoły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uzasadnia konieczność zachowania dokładności przy tworzeniu map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55–57. Niziny, wyżyny i góry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podaje pełne rozwinięcie skrótu: m n.p.m.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przyporządkowuje nizinom, wyżynom i górom odpowie-dnie barwy hipsometryczne stosowane na mapach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definiuje wysokość nad poziomem morza, wskazując poziom morza jako punkt zero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charakteryzuje i odróżnia wielkie formy ukształtowania powierzchni, podając ich przedziały wysokościowe: niziny (0-300 m) , wyżyny (300-500 m) , góry (powyżej 500 m n.p.m.)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definiuje poziomice jako linie łączące punkty o tej samej wysokości nad poziomem morza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odczytuje wysokość bezwzględ-ną punktu oraz szczytu z rysunku poziomicowego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opisuje ukształtowanie powierzchni Polski na podstawie mapy fizycznej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odróżnia pojedynczą górę od pasma górskiego i łańcucha górskiego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wskazuje najwyższy (Rysy) i najniższy (Marzęcino) punkt w Polsce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na podstawie doświadczenia z ziemniakiem („Malujemy górę”) wyjaśnia znaczenie kolorów na mapie fizycznej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analizuje ukształtowanie powierzchni i wysokości bezwzględne wybranych miast oraz punktów w Polsce na podstawie analizy skali barw mapy hipsometrycznej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58–59. Woda w środowisku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wymienia formy i stany skupienia, w jakich woda występuje na Ziemi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dzieli ciekłe wody lądowe na stojące i płynące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definiuje pojęcia: ciek, źródło, ujście, dopływ oraz rzeka główna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elementy składowe systemu rzecznego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odróżnia naturalne i sztuczne wody stojące (jezioro, mokradło, staw sztuczny) od płynących (rzeka, potok, strumień)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co najmniej 4 funkcje, jakie rzeki i jeziora pełnią w środowisku i gospodarce człowieka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charakteryzuje rodzaje cieków (strumień – nizinny, węższy ; potok – górski, szybki prąd; rzeka – duży ciek)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definiuje lądolód jako ogromną pokrywę lodu na obszarach okołobiegunowych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lokalizuje na mapie bieg wybranej rzeki od źródła do ujścia wraz z jej dopływami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podaje nazwy i wskazuje na mapie największe polskie jezioro (Śniardwy) i najdłuższą rzekę (Wisła)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opisuje rolę mokradeł (bagien) jako naturalnych rezerwuarów retencyjnych zapobiegających powodziom i suszom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wyjaśnia, od jakich czynników zależą barwa i przejrzystość wody w zbiornikach naturalnych badanych w terenie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omawia występowanie wód podziemnych wypełniających puste przestrzenie między skałami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60–62. Krainy geograficzne Polski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podaje, że krajobraz Polski układa się pasowo i wznosi się stopniowo od północy na południe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nazwy pasów krajobrazowych Polski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charakteryzuje poszczególne pasy krajobrazowe, podając ich kluczowe cechy (pobrzeża – bliskość morza; pojezierza – wzgórza polodowcowe, liczne jeziora; niziny – płaskie obszary rolnicze; wyżyny – tereny pagórko-wate 300–500 m n.p.m., góry – wysokość powyżej 500 m n.p.m.)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wskazuje pas krajobrazowy, w którym leży jego szkoła i miejsce zamieszkania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lokalizuje na mapie fizycznej krainy geograficzne Polski (np. Pobrzeże Gdańskie, Pojezierze Mazurskie, Nizinę Mazowiecką, Wyżynę Lubelskę, Tatry, Sudety, Karpaty)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opisuje specyficzne elementy krajobrazu wyżyn (skały wapienne Jury, wąwozy Wyżyny Lubelskiej) oraz gór (łagodne i zalesione Sudety, skaliste i strome Tatry)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odróżnia klif od piaszczystej plaży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omawia schodowy układ ukształtowania powierzchni Polski: od morza ku górom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łączy cechy krajobrazu naturalnego pasów z dziedzictwem historyczno-kulturowym regionu (np. kultura Podhala i wypas owiec, kultura Łowicza i hafty/wycinanki, złoża bursztynu na pobrzeżu, Szlak Orlich Gniazd na wyżynie)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63–65. Obserwujemy pogodę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definiuje pogodę jako warunki panujące w powietrzu w danym momencie na danym obszarze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główne składniki i zjawiska atmosferyczne tworzące pogodę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przyporządkowuje składnikom pogody odpowiednie przyrządy pomiarowe: temperatura – termometr (°C) , opady – deszczomierz (mm), prędkość wiatru – wiatromierz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odróżnia stopnie zachmurzenia nieba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rozróżnia rodzaje opadów (deszcz, mżawka, śnieg, grad) oraz osadów atmosferycznych (rosa, szron, szadź, gołoledź)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opisuje zasady prawidłowego pomiaru temperatury (wysokość 2 m, ruch drobin powietrza) oraz wiatru (kierunek – chorągiewka – skąd wieje)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odróżnia temperaturę zmierzoną od odczuwalnej jako subiektywnego wrażenia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podaje przykłady niebezpiecznych zjawisk pogodowych dla poszczególnych pór roku (np. fale upałów, deszcze nawalne, trąby powietrzne, zamiecie śnieżne, gołoledź)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na podstawie doświadczenia terenowego („Pogoda na dziś”) wyjaśnia różnicę między uśrednioną prognozą z portali dla całego miasta a fakturowym pomiarem termometrem zaokiennym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definiuje pojęcie klimatu i odróżnia je od pogody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stosuje komunikaty ostrzegawcze (alerty RCB), proponując działania zabezpieczające dom i otoczenie przed huraganem lub burzą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systematycznie prowadzi tygodniowy kalendarz obserwacji pogody według ścisłych kryteriów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66–67. Podsumowanie działu IV. Sprawdzenie wiadomości z działu IV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rozwiązuje najprostsze zadania testowe oparte na pamięciowym odtwarzaniu nazw kontynentów, oceanów i składników pogody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samodzielnie wykonuje zadania testowe i krótkiego zapisu sprawdzające rozumienie elementów mapy, form ukształtowania i pojęć hydrologicznych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poprawnie stosuje wiedzę z działu IV do analizy typowych sytuacji szkolnych, praktycznych zadań z mapą oraz orientacji topograficznej w terenie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samodzielnie rozwiązuje zadania problemowe (np. z sekcji „Biuro Tropicieli Przyrody”), wykazując się naukowym stylem myślenia oraz precyzyjną argumentacją</w:t>
            </w:r>
          </w:p>
        </w:tc>
      </w:tr>
      <w:tr>
        <w:trPr>
          <w:cantSplit/>
        </w:trPr>
        <w:tc>
          <w:tcPr>
            <w:tcW w:type="dxa" w:w="14590"/>
            <w:gridSpan w:val="5"/>
            <w:shd w:fill="EAF2F8"/>
          </w:tcPr>
          <w:p>
            <w:pPr>
              <w:spacing w:after="20" w:line="228" w:lineRule="auto"/>
            </w:pPr>
            <w:r/>
            <w:r>
              <w:rPr>
                <w:b/>
                <w:sz w:val="18"/>
              </w:rPr>
              <w:t>Dział V. Środowisko życia organizmów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68–69. W wodzie i na lądzie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podaje, że warunki życia w środowiskach wodnym i lądowym wykazują znaczne różnice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podstawowe przystosowania ryb ułatwiające im ruch w wodzie (płetwy, kształt ciała)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wskazuje, że ptaki posiadają skrzydła oraz pióra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charakteryzuje warunki życia w wodzie (dostęp do wody, opór i ruchy wody, rozproszone światło, małe zmiany temperatury, tlen rozpuszczony) oraz na lądzie (ograniczona woda, więcej światła, duże wahania temperatur, tlen w powietrzu)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sposoby poruszania się zwierząt wodnych i lądowych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podaje cztery główne cechy przystosowania ptaków do lotu (mięśnie klatki piersiowej, pióra okrywające, odpowiednia powierzchnia nośna skrzydeł, opływowy kształt ciała)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na podstawie doświadczenia („Warstwa wodoodporna”) wnioskuje o roli warstwy tłuszczu w zabezpieczaniu piór i skóry zwierząt przed nasiąkaniem wodą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porównuje budowę łodyg i liści roślin wodnych (wiotkie, elastyczne łodygi) z lądowymi (sztywny lub zdrewniały pień, kora, korzenie) na bazie obserwacji akwarium i roślin doniczkowych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wyjaśnia, w jaki sposób opływowy kształt oraz skóra pokryta śluzem zmniejszają opór wody podczas ruchu ryb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uzasadnia, dlaczego niektóre ptaki mające skrzydła i opływowy kształt ciała (np. strusie, pingwiny) nie mają zdolności lotu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 przyczyny tego, że rośliny wodne po wyjęciu ze środowiska wodnego natychmiast tracą swój pionowy pokrój i wiotczeją („oklapną”)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analizuje problemy adaptacyjne (związane z masą, ciężarem lub oddychaniem), jakie musiałoby pokonać zwierzę po nagłej, radykalnej zmianie środowiska życia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70–71. Na łące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definiuje łąkę jako obszar porośnięty roślinami zielnymi, pozbawiony drzew i krzewów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podaje, że do powstawania owoców i nasion na łące konieczne jest zapylenie roślin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po dwa przykłady zwierząt i roślin charakterystycznych dla ekosystemu łąkowego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rozróżnia cechy budowy roślin owadopylnych (jaskrawe i barwne kwiaty, zapach, nektar) od wiatropylnych (beżowe kłosy bez płatków, brak zapachu i nektaru, lekki pyłek)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trzy piętra łąki (wysokich traw i kwiatów, darni, podziemne) i przyporządkowuje do nich typowych mieszkańców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zna zasady profilaktyki oraz prawidłowego postępowania w przypadku kontaktu z kleszczem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opisuje mechanizm zapylania przez owady na przykładzie pszczoły zbierającej nektar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omawia znaczenie łąk w przyrodzie jako obszarów bioróżnorodnych oraz ich rolę gospodarczą dla człowieka (wypas zwierząt, koszenie na siano)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 pożyteczną rolę dżdżownic w piętrze podziemnym oraz znaczenie miejskich łąk kwietnych w zatrzymywaniu wilgoci w glebie podczas suszy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przewiduje i uzasadnia skutki dla roślin i całego ekosystemu łąki w razie całkowitego wyginięcia owadów zapylających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 zjawisko nagłego powstawania „żółtej chmury” nad łąką przy silnym wietrze (rośliny wiatropylne)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interpretuje wyniki badania bio-różnorodności na poletku badawczym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uzasadnia ogromną szkodliwość wypalania traw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72–74. W lesie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definiuje las jako złożony ekosystem porośnięty roślinami drzewiastymi i zielnymi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rozróżnia lasy iglaste (bory), liściaste oraz mieszane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po kolei warstwy tworzące strukturę lasu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wymienia warstwy lasu (korony drzew, podrost, podszyt, runo leśne, ściółka leśna i gleba)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przyporządkowuje przykłady roślin (np. sosna, dąb, borówka, konwalia, mech) oraz zwierząt do odpowied-nich warstw lasu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odróżnia świerk od jodły (budowa igieł i szyszek) oraz buk od klonu jaworu (kształt liści i owoców)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czynniki szkodzące lasom oraz działania służące ich ochronie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charakteryzuje warunki abiotyczne (dostęp do światła, siła wiatru, wilgotność, wahania temperatur) panujące w poszczególnych warstwach lasu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omawia znaczenie lasu dla przyrody (pochłanianie CO2, pro-dukcja O2, magazynowanie wody, ochrona przed hałasem) i czło-wieka (drewno, leki, kosmetyki)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 proces powstawania żyznej próchnicy w ściółce leśnej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na bazie analogii doświadczalnej („Leśna gąbka”) uzasadnia zdolność runa i ściółki leśnej do magazynowania wody oraz zapobiegania powodziom i suszom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analizuje i prognozuje negatywne, globalne skutki ekologiczne, jakie przyniosłoby zniknięcie lasów z powierzchni Ziemi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uzasadnia szkodliwość sztucznego sadzenia lasów złożonych tylko z jednego gatunku drzew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75–77. W rzece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przypomina, że rzeka zalicza się do wód płynących (cieków)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trzy podstawowe odcinki (biegi) rzeki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wskazuje Wisłę jako najdłuższą rzekę w Polsce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definiuje pojęcia: nurt (najszybciej płynąca część wody), dolina rzeczna oraz koryto rzeki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charakteryzuje trzy odcinki rzeki pod kątem nachylenia terenu i prędkości wody: bieg górny (duże nachylenie, szybki i silny nurt), bieg środkowy (mniejsze nachylenie, wolniejszy prąd, zakręty rzeki), bieg dolny (najwolniejszy prąd, szerokie i głębokie koryto)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organizmy i ryby typowe dla poszczególnych biegów Wisły (pstrąg, sum, leszcz, sandacz, wierzba, trzciny)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opisuje zjawisko naturalnego powstawania zakrętów rzecznych w środkowym biegu (podcinanie jednego brzegu i tworzenie wysokiej skarpy oraz odkładanie piasku po stronie płytkiej)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 wpływ pór roku (wiosenne roztopy, letnie opady) na ilość wody w rzekach w Polsce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definiuje deltę rzeczną jako ujście rozgałęziające się na wiele odnóg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lokalizuje źródło Wisły na stokach Baraniej Góry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na podstawie doświadczenia w piaskownicy wyjaśnia zależność między nachyleniem terenu, prędkością nurtu a procesami żłobienia podłoża i osadzania piasku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 kolejność powstawania form akumulacyjnych w korycie: mielizna -&gt; łacha -&gt; kępa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ocenia negatywny wpływ ocieple-nia klimatu i letnich susz na bilans wodny rzek i organizmy wodne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uzasadnia wartość przyrodniczą Wisły jako rzeki „dzikiej” (nieuregulowanej)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doradza wędkarzowi na bazie wiedzy o nurcie, w którym miejscu zakola rzeki należy łowić ryby preferujące głęboką wodę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78–79. Podsumowanie działu V. Sprawdzenie wiadomości z działu V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rozwiązuje najprostsze zadania testowe oparte na pamięciowym odtwarzaniu podstawowych faktów i definicji warstw lasu lub pięter łąki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samodzielnie wykonuje zadania testowe i krótkiego zapisu sprawdzające rozumienie przystoso-wań ptaków i ryb, cech krain rzecznych i interakcji ekologicznych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poprawnie stosuje wiedzę o środowiskach życia organizmów do analizy typowych sytuacji szkolnych i praktycznych zadań laboratoryjnych lub terenowych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samodzielnie i bezbłędnie rozwiązuje zaawansowane, nietypowe zadania problemowe (np. z sekcji „Biuro Tropicieli Przyrody”), wykazując się logicznym, naukowym stylem myślenia oraz precyzyjną argumentacją</w:t>
            </w:r>
          </w:p>
        </w:tc>
      </w:tr>
      <w:tr>
        <w:trPr>
          <w:cantSplit/>
        </w:trPr>
        <w:tc>
          <w:tcPr>
            <w:tcW w:type="dxa" w:w="14590"/>
            <w:gridSpan w:val="5"/>
            <w:shd w:fill="EAF2F8"/>
          </w:tcPr>
          <w:p>
            <w:pPr>
              <w:spacing w:after="20" w:line="228" w:lineRule="auto"/>
            </w:pPr>
            <w:r/>
            <w:r>
              <w:rPr>
                <w:b/>
                <w:sz w:val="18"/>
              </w:rPr>
              <w:t>Dział VI. Człowiek w środowisku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80–82. Moje miasto, moja wieś. Moje miasto, moja wieś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wskazuje podstawowe różnice w krajobrazie miasta i wsi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podaje proste przykłady elementów krajobrazu miejskiego i wiejskiego na podstawie otoczenia szkoły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podaje, że parki i skwery to przykłady miejskich terenów zielonych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opisuje cechy krajobrazu miejskiego (gęsta i wysoka zabudowa, biurowce, śródmieście, sieć komunikacyjna, duże skupiska ludzi) oraz wiejskiego (niska zabudowa, domy jednorodzinne, obecność pól uprawnych, pastwisk, maszyn rolniczych)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zalety i wady życia na wsi oraz w mieście na podstawie schematu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wskazuje stolicę Polski (Warszawę) jako największe polskie miasto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wyjaśnia, w jaki sposób zieleń miejska (parki, stawy, zielone dachy, łąki kwietne) poprawia jakość powietrza, pomaga walczyć z suszą, chroni owady i łagodzi uciążliwość upałów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definiuje pojęcia: śródmieście oraz stare miasto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opisuje unikalną cechę polskiego krajobrazu wiejskiego przypominającego pasową „kolorową szachownicę”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przeprowadza obserwację terenową z użyciem listy kontrolnej składników krajobrazu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samodzielnie analizuje, porównuje i ocenia długofalowe konsekwencje społeczne i przyrodnicze relokacji (przeprowadzki) ze środowiska miejskiego do wiejskiego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uzasadnia, dlaczego obszary śródmiejskie dużych miast są bardziej narażone na uciążliwe fale upałów niż tereny wiejskie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wyciąga wnioski na temat struktury funkcjonalnej i przestrzen-nej miasta na podstawie zróżnicowania stref (śródmieście, osiedla mieszkaniowe, tereny przemysłowe)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83–85. Uprawy i hodowle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definiuje rolnictwo jako uprawę roślin i chów zwierząt w celu pozyskania żywności i surowców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klasyfikuje znane produkty spożywcze na pochodzące od zwierząt lub z pola uprawnego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wymienia trzy główne rodzaje użytków rolnych: pola uprawne, pastwiska i łąki, uprawy trwałe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opisuje kolejno 5 etapów cyklu prac na polu uprawnym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dzieli rośliny polne na zbożowe, oleiste i warzywne, podając ich przykłady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najważniejsze grupy zwierząt hodowlanych w Polsce (bydło, trzoda chlewna, drób, owce, kozy) wraz z pozyskiwanymi z nich produktami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definiuje pojęcie dobrostanu zwierząt (wygodne miejsce, dostęp do wody, właściwa temperatura, możliwość ruchu)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charakteryzuje uprawy trwałe (sady, winnice, plantacje krzewów, szkółki), wskazując, że rosną one wiele lat i nie wymagają corocznego zasiewu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określa i uzasadnia, z jakich konkretnych roślin uprawnych powstały codzienne produkty (np. cukier z buraków, chleb z żyta, olej z rzepaku, rodzynki z winogron, frytki z ziemniaków)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opisuje morfologiczne formy zebrania nasion zbóż (kłosy, wiechy, kolby)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wyjaśnia, do czego służą rolnicze pastwiska i łąki oraz na czym polegają specjalne rodzaje hodowli (pszczelarstwo, rybactwo)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wyjaśnia znaczenie ekologiczne łąk i pastwisk rolniczych działających jak „wielka gąbka” zatrzymująca wodę i chroniąca przed suszą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argumentuje, dlaczego niszczenie upraw trwałych (np. sadów) wiąże się ze stratą wielu lat pracy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uzasadnia konieczność dbania o dobrostan zwierząt hodowlanych z punktu widzenia etyki oraz jakości pozyskiwanych surowców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przeprowadza domowy eksperyment hodowlany modelujący wzrost roślin zielnych (np. „fryzura pana Trawińskiego”)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86–88. Co warto jeść?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wymienia najważniejsze grupy składników pokarmowych (białka, węglowodany, tłuszcze, witaminy, sole mineralne)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podaje, że organizm potrzebuje stałego nawodnienia i należy pić około 2 litrów wody dziennie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opisuje podstawowe funkcje głównych składników: białka (budowa ciała, wzrost), węglowoda-ny (energia zużywana od razu na myślenie i ruch), tłuszcze (źródło energii, ochrona przed zimnem)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produkty bogate w białka, węglowodany i tłuszcze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omawia zalecane proporcje posiłków według Talerza zdrowego żywienia (1/2 warzyw i owoców, 1/4 białka, 1/4 węglowodanów)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wyjaśnia rolę błonnika (oczyszczanie jelit jak „mała szczoteczka”) oraz podaje źródła jego występowania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charakteryzuje wybrane funkcje witamin (A, C, E, K) oraz soli mineralnych (wapń, żelazo, magnez)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omawia zasady prawidłowych nawyków jedzenia (4-5 posiłków o stałych porach, dokładne gryzienie, uwzględnienie 20 minut na sygnał sytości do mózgu)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uzasadnia, dlaczego pieczywo pełnoziarniste jest zdrowsze od białego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przeprowadza eksperyment matematyczno-przyrodniczy („Cukrowy detektyw”) – odczytuje z tabeli etykiet zawartość cukrów w 100g, oblicza ich masę w całym opakowaniu i przelicza na łyżeczki (1 łyżeczka ≈ 5g)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wykrywa i uzasadnia na podstawie etykiet obecność dużych ilości ukrytego cukru w produktach powszechnie uznawanych za zdrowe (soki owocowe, jogurty smakowe, pitne czy niskotłuszczowe)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samodzielnie rejestruje swój jednodniowy jadłospis i ocenia jego strukturę w odniesieniu do zaleceń Talerza zdrowego żywienia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89–91. Dlaczego segregujemy śmieci?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podaje, że codzienne opakowania obciążają planetę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rozpoznaje podstawowe rodzaje tworzyw opakowań (celuloza, szkło, metal, plastik)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przyporządkowuje popularne śmieci domowe do odpowiednich pojemników do segregacji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opisuje właściwości fizyczne badanych tworzyw (celuloza – lekka, chłonie wodę; szkło – ciężkie, twarde, nie chłonie; metal i plastik – lekkie, gładkie, nie chłoną wody)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przyporządkowuje odpady do 5 kolorowych koszy (niebieski – papier, zielony – szkło, żółty – metale i tworzywa sztuczne, brązowy – BIO, czarny – zmieszane)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definiuje pojęcia: recykling, upcykling oraz odpady biodegradowalne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wymienia odpady, których kategorycznie nie wolno wyrzucać do standardowych koszy (elektrośmieci, odpady niebezpieczne, budowlane)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wyjaśnia różnicę między recyklingiem (odzyskiwanie i przetwarzanie surowców na nowe produkty) a upcyklingiem (nadawanie rzeczom drugiego życia w cenniejszej, kreatywnej formie)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omawia i uzasadnia dobre praktyki segregacji: zgniatanie butelek i puszek przed wyrzuceniem niewrzucanie zatłuszczonego papieru do kosza niebieskiego , opróżnianie szkła bez marnowania wody na mycie , wrzucanie kartonów po napojach do żółtego kosza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opisuje właściwości tkanin naturalnych (bawełna, wełna – chłoną wodę) i sztucznych (poliester – nie chłonie)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wyjaśnia zagrożenia ekologiczne wynikające z setek lat rozkładu plastiku i powstawania mikroplastiku zjadanego przez zwierzęta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definiuje i objaśnia pojęcie „śladu wodnego” przedmiotów i produktów codziennego użytku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wyjaśnia rolę kosza brązowego, z którego zawartości powstaje kompost zwany „czarnym złotem ogrodników”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opisuje mechanizm działania nerek w ciele człowieka jako zaawansowanego systemu filtrowania i rozdzielania mieszanin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projektuje i wdraża klasowy system segregacji odpadów wraz z piktogramami i zasadami użytkowania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92–93. Podsumowanie działu VI. Sprawdzenie wiadomości z działu VI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rozwiązuje najprostsze zadania testowe oparte na pamięciowym odtwarzaniu definicji (np. kolory koszy, funkcje białek, cechy wsi)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samodzielnie wykonuje zadania testowe i krótkiego zapisu sprawdzające rozumienie cech rolnictwa, talerza zdrowego żywienia i właściwości materiałów opakowaniowych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poprawnie stosuje wiedzę z działu VI do analizy typowych sytuacji życiowych (zakupy, segregacja, komponowanie posiłków) i prostych zadań klasyfikacyjnych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samodzielnie i bezbłędnie rozwiązuje zadania problemowe (np. z sekcji „Biuro Tropicieli Przyrody”), wykazując się logicznym, naukowym stylem myślenia oraz precyzyjną argumentacją i umiejętnością odróżniania faktów od opinii</w:t>
            </w:r>
          </w:p>
        </w:tc>
      </w:tr>
      <w:tr>
        <w:trPr>
          <w:cantSplit/>
        </w:trPr>
        <w:tc>
          <w:tcPr>
            <w:tcW w:type="dxa" w:w="14590"/>
            <w:gridSpan w:val="5"/>
            <w:shd w:fill="EAF2F8"/>
          </w:tcPr>
          <w:p>
            <w:pPr>
              <w:spacing w:after="20" w:line="228" w:lineRule="auto"/>
            </w:pPr>
            <w:r/>
            <w:r>
              <w:rPr>
                <w:b/>
                <w:sz w:val="18"/>
              </w:rPr>
              <w:t>Festiwal przyrody</w:t>
            </w:r>
          </w:p>
        </w:tc>
      </w:tr>
      <w:tr>
        <w:trPr>
          <w:cantSplit/>
        </w:trPr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/>
                <w:sz w:val="14"/>
              </w:rPr>
              <w:t>Projekty na zakończenie semestru i/lub roku szkolnego: Festiwal Przyrody – realizacja i prezentacja projektu edukacyjnego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bierze udział w pracach zespołu projektowego (grupa 3–4 osoby)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potrafi wskazać temat realizowanego projektu oraz podstawowy cel badania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podpisuje i stara się przestrzegać zasad zawartych w klasowym „Kontrakcie supergrupy” (podział ról, terminowość, wzajemna pomoc)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 kierunkiem nauczyciela przeprowadza jedno z doświadczeń opisanych w podręczniku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bierze aktywny udział w publicznym pokazie eksperymentów (Festiwalu), prezentując efekty pracy grupy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aktywnie uczestniczy w planowaniu eksperymentu, stawianiu pytań badawczych i doborze materiałów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prowadzi staranną dokumenta-cję wyników (notatki, rysunki lub zdjęcia)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współorganizuje przestrzeń wystawienniczą (na boisku lub w sali) z dbałością o logistykę i bezpieczeństwo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podczas prezentacji publicznej ciekawie opowiada o doświad-czeniu, wzbudzając ciekawość widzów</w:t>
            </w:r>
          </w:p>
        </w:tc>
        <w:tc>
          <w:tcPr>
            <w:tcW w:type="dxa" w:w="2918"/>
            <w:vAlign w:val="top"/>
          </w:tcPr>
          <w:p>
            <w:pPr>
              <w:spacing w:after="20" w:line="228" w:lineRule="auto"/>
            </w:pPr>
            <w:r/>
            <w:r>
              <w:rPr>
                <w:b w:val="0"/>
                <w:sz w:val="14"/>
              </w:rPr>
              <w:t>• wykazuje się umiejętnością samodzielnego stosowania metody naukowej oraz wyciągania wniosków z błędów popełnionych w trakcie prób technicznych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podczas finałowego pokazu stosuje zaawansowane techniki prezentacji (np. celowo pozostawia widzów z pytaniami, stymulując ich ciekawość)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sprawnie wykorzystuje narzędzia cyfrowe do dokumentacji (np. obiektyw Google)</w:t>
            </w:r>
          </w:p>
          <w:p>
            <w:pPr>
              <w:spacing w:after="20" w:line="228" w:lineRule="auto"/>
            </w:pPr>
            <w:r>
              <w:rPr>
                <w:b w:val="0"/>
                <w:sz w:val="14"/>
              </w:rPr>
              <w:t>• dokonuje analizy własnych postępów i wiedzy, wypełniając Arkusz Samooceny obejmujący materiał z całego roku</w:t>
            </w:r>
          </w:p>
        </w:tc>
      </w:tr>
    </w:tbl>
    <w:p>
      <w:r>
        <w:br w:type="page"/>
      </w:r>
    </w:p>
    <w:p>
      <w:pPr>
        <w:pStyle w:val="Heading1"/>
      </w:pPr>
      <w:r>
        <w:t>6. Sposoby sprawdzania osiągnięć edukacyjnych</w:t>
      </w:r>
    </w:p>
    <w:p>
      <w:pPr>
        <w:pStyle w:val="ListBullet"/>
      </w:pPr>
      <w:r>
        <w:t>prace pisemne zgodne ze Statutem Szkoły: sprawdziany, prace klasowe, testy i kartkówki;</w:t>
      </w:r>
    </w:p>
    <w:p>
      <w:pPr>
        <w:pStyle w:val="ListBullet"/>
      </w:pPr>
      <w:r>
        <w:t>odpowiedzi ustne i krótkie wypowiedzi ucznia;</w:t>
      </w:r>
    </w:p>
    <w:p>
      <w:pPr>
        <w:pStyle w:val="ListBullet"/>
      </w:pPr>
      <w:r>
        <w:t>indywidualne oraz zespołowe rozwiązywanie zadań i problemów, wykonywanie ćwiczeń;</w:t>
      </w:r>
    </w:p>
    <w:p>
      <w:pPr>
        <w:pStyle w:val="ListBullet"/>
      </w:pPr>
      <w:r>
        <w:t>obserwacje i doświadczenia przyrodnicze, w tym planowanie, wykonywanie, dokumentowanie i formułowanie wniosków;</w:t>
      </w:r>
    </w:p>
    <w:p>
      <w:pPr>
        <w:pStyle w:val="ListBullet"/>
      </w:pPr>
      <w:r>
        <w:t>praca w terenie oraz praca z mapą, planem, globusem, tabelą, wykresem, schematem, okazem lub przyrządem pomiarowym;</w:t>
      </w:r>
    </w:p>
    <w:p>
      <w:pPr>
        <w:pStyle w:val="ListBullet"/>
      </w:pPr>
      <w:r>
        <w:t>projekty edukacyjne i inne prace wykonywane podczas zajęć, jeżeli wcześniej podano uczniom kryteria;</w:t>
      </w:r>
    </w:p>
    <w:p>
      <w:pPr>
        <w:pStyle w:val="ListBullet"/>
      </w:pPr>
      <w:r>
        <w:t>inne sposoby przewidziane w Statucie, dobrane do specyfiki przyrody.</w:t>
      </w:r>
    </w:p>
    <w:p>
      <w:pPr>
        <w:pStyle w:val="Heading1"/>
      </w:pPr>
      <w:r>
        <w:t>7. Skala oceniania prac kontrolnych</w:t>
      </w:r>
    </w:p>
    <w:p>
      <w:r>
        <w:t>Dla sprawdzianów, prac klasowych i testów stosuje się skalę procentową określoną w Statucie Szkoły: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296"/>
        <w:gridCol w:w="7296"/>
      </w:tblGrid>
      <w:tr>
        <w:tc>
          <w:tcPr>
            <w:tcW w:type="dxa" w:w="7296"/>
            <w:shd w:fill="D9EAF7"/>
          </w:tcPr>
          <w:p>
            <w:pPr>
              <w:spacing w:after="20" w:line="228" w:lineRule="auto"/>
            </w:pPr>
            <w:r/>
            <w:r>
              <w:rPr>
                <w:b/>
                <w:sz w:val="18"/>
              </w:rPr>
              <w:t>Wynik</w:t>
            </w:r>
          </w:p>
        </w:tc>
        <w:tc>
          <w:tcPr>
            <w:tcW w:type="dxa" w:w="7296"/>
            <w:shd w:fill="D9EAF7"/>
          </w:tcPr>
          <w:p>
            <w:pPr>
              <w:spacing w:after="20" w:line="228" w:lineRule="auto"/>
            </w:pPr>
            <w:r/>
            <w:r>
              <w:rPr>
                <w:b/>
                <w:sz w:val="18"/>
              </w:rPr>
              <w:t>Ocena</w:t>
            </w:r>
          </w:p>
        </w:tc>
      </w:tr>
      <w:tr>
        <w:tc>
          <w:tcPr>
            <w:tcW w:type="dxa" w:w="7296"/>
          </w:tcPr>
          <w:p>
            <w:pPr>
              <w:spacing w:after="20" w:line="228" w:lineRule="auto"/>
            </w:pPr>
            <w:r/>
            <w:r>
              <w:rPr>
                <w:b w:val="0"/>
                <w:sz w:val="18"/>
              </w:rPr>
              <w:t>91–100%</w:t>
            </w:r>
          </w:p>
        </w:tc>
        <w:tc>
          <w:tcPr>
            <w:tcW w:type="dxa" w:w="7296"/>
          </w:tcPr>
          <w:p>
            <w:pPr>
              <w:spacing w:after="20" w:line="228" w:lineRule="auto"/>
            </w:pPr>
            <w:r/>
            <w:r>
              <w:rPr>
                <w:b w:val="0"/>
                <w:sz w:val="18"/>
              </w:rPr>
              <w:t>6 – celujący</w:t>
            </w:r>
          </w:p>
        </w:tc>
      </w:tr>
      <w:tr>
        <w:tc>
          <w:tcPr>
            <w:tcW w:type="dxa" w:w="7296"/>
          </w:tcPr>
          <w:p>
            <w:pPr>
              <w:spacing w:after="20" w:line="228" w:lineRule="auto"/>
            </w:pPr>
            <w:r/>
            <w:r>
              <w:rPr>
                <w:b w:val="0"/>
                <w:sz w:val="18"/>
              </w:rPr>
              <w:t>81–90%</w:t>
            </w:r>
          </w:p>
        </w:tc>
        <w:tc>
          <w:tcPr>
            <w:tcW w:type="dxa" w:w="7296"/>
          </w:tcPr>
          <w:p>
            <w:pPr>
              <w:spacing w:after="20" w:line="228" w:lineRule="auto"/>
            </w:pPr>
            <w:r/>
            <w:r>
              <w:rPr>
                <w:b w:val="0"/>
                <w:sz w:val="18"/>
              </w:rPr>
              <w:t>5 – bardzo dobry</w:t>
            </w:r>
          </w:p>
        </w:tc>
      </w:tr>
      <w:tr>
        <w:tc>
          <w:tcPr>
            <w:tcW w:type="dxa" w:w="7296"/>
          </w:tcPr>
          <w:p>
            <w:pPr>
              <w:spacing w:after="20" w:line="228" w:lineRule="auto"/>
            </w:pPr>
            <w:r/>
            <w:r>
              <w:rPr>
                <w:b w:val="0"/>
                <w:sz w:val="18"/>
              </w:rPr>
              <w:t>70–80%</w:t>
            </w:r>
          </w:p>
        </w:tc>
        <w:tc>
          <w:tcPr>
            <w:tcW w:type="dxa" w:w="7296"/>
          </w:tcPr>
          <w:p>
            <w:pPr>
              <w:spacing w:after="20" w:line="228" w:lineRule="auto"/>
            </w:pPr>
            <w:r/>
            <w:r>
              <w:rPr>
                <w:b w:val="0"/>
                <w:sz w:val="18"/>
              </w:rPr>
              <w:t>4 – dobry</w:t>
            </w:r>
          </w:p>
        </w:tc>
      </w:tr>
      <w:tr>
        <w:tc>
          <w:tcPr>
            <w:tcW w:type="dxa" w:w="7296"/>
          </w:tcPr>
          <w:p>
            <w:pPr>
              <w:spacing w:after="20" w:line="228" w:lineRule="auto"/>
            </w:pPr>
            <w:r/>
            <w:r>
              <w:rPr>
                <w:b w:val="0"/>
                <w:sz w:val="18"/>
              </w:rPr>
              <w:t>50–69%</w:t>
            </w:r>
          </w:p>
        </w:tc>
        <w:tc>
          <w:tcPr>
            <w:tcW w:type="dxa" w:w="7296"/>
          </w:tcPr>
          <w:p>
            <w:pPr>
              <w:spacing w:after="20" w:line="228" w:lineRule="auto"/>
            </w:pPr>
            <w:r/>
            <w:r>
              <w:rPr>
                <w:b w:val="0"/>
                <w:sz w:val="18"/>
              </w:rPr>
              <w:t>3 – dostateczny</w:t>
            </w:r>
          </w:p>
        </w:tc>
      </w:tr>
      <w:tr>
        <w:tc>
          <w:tcPr>
            <w:tcW w:type="dxa" w:w="7296"/>
          </w:tcPr>
          <w:p>
            <w:pPr>
              <w:spacing w:after="20" w:line="228" w:lineRule="auto"/>
            </w:pPr>
            <w:r/>
            <w:r>
              <w:rPr>
                <w:b w:val="0"/>
                <w:sz w:val="18"/>
              </w:rPr>
              <w:t>35–49%</w:t>
            </w:r>
          </w:p>
        </w:tc>
        <w:tc>
          <w:tcPr>
            <w:tcW w:type="dxa" w:w="7296"/>
          </w:tcPr>
          <w:p>
            <w:pPr>
              <w:spacing w:after="20" w:line="228" w:lineRule="auto"/>
            </w:pPr>
            <w:r/>
            <w:r>
              <w:rPr>
                <w:b w:val="0"/>
                <w:sz w:val="18"/>
              </w:rPr>
              <w:t>2 – dopuszczający</w:t>
            </w:r>
          </w:p>
        </w:tc>
      </w:tr>
      <w:tr>
        <w:tc>
          <w:tcPr>
            <w:tcW w:type="dxa" w:w="7296"/>
          </w:tcPr>
          <w:p>
            <w:pPr>
              <w:spacing w:after="20" w:line="228" w:lineRule="auto"/>
            </w:pPr>
            <w:r/>
            <w:r>
              <w:rPr>
                <w:b w:val="0"/>
                <w:sz w:val="18"/>
              </w:rPr>
              <w:t>0–34%</w:t>
            </w:r>
          </w:p>
        </w:tc>
        <w:tc>
          <w:tcPr>
            <w:tcW w:type="dxa" w:w="7296"/>
          </w:tcPr>
          <w:p>
            <w:pPr>
              <w:spacing w:after="20" w:line="228" w:lineRule="auto"/>
            </w:pPr>
            <w:r/>
            <w:r>
              <w:rPr>
                <w:b w:val="0"/>
                <w:sz w:val="18"/>
              </w:rPr>
              <w:t>1 – niedostateczny</w:t>
            </w:r>
          </w:p>
        </w:tc>
      </w:tr>
    </w:tbl>
    <w:p>
      <w:r>
        <w:t>Skala procentowa służy ocenianiu wskazanych prac kontrolnych. Ocena śródroczna i roczna wynika ze stopnia spełnienia wymagań edukacyjnych i nie jest średnią arytmetyczną ocen bieżących.</w:t>
      </w:r>
    </w:p>
    <w:p>
      <w:pPr>
        <w:pStyle w:val="Heading1"/>
      </w:pPr>
      <w:r>
        <w:t>8. Prace domowe</w:t>
      </w:r>
    </w:p>
    <w:p>
      <w:r>
        <w:t>W klasie IV nie zadaje się praktyczno-technicznych prac domowych do wykonania w czasie wolnym od zajęć. Pisemna praca domowa może służyć utrwalaniu, rozwijaniu lub praktycznemu stosowaniu treści zrealizowanych na zajęciach; jest nieobowiązkowa, nie ustala się z niej oceny, a nauczyciel sprawdza wykonaną pracę i przekazuje uczniowi informację zwrotną. Jej wykonywanie może mieć wpływ na podwyższenie rocznej oceny wyłącznie na zasadach określonych w Statucie i nie zastępuje spełnienia wymagań na ocenę wyższą.</w:t>
      </w:r>
    </w:p>
    <w:p>
      <w:pPr>
        <w:pStyle w:val="Heading1"/>
      </w:pPr>
      <w:r>
        <w:t>9. Dostosowanie wymagań</w:t>
      </w:r>
    </w:p>
    <w:p>
      <w:r>
        <w:t>Wymagania edukacyjne dostosowuje się w przypadkach przewidzianych przepisami do indywidualnych potrzeb rozwojowych i edukacyjnych oraz możliwości psychofizycznych ucznia, z uwzględnieniem zaleceń wynikających z opinii lub orzeczenia oraz rozpoznania dokonanego w szkole. Dostosowanie dotyczy warunków, metod, form i sposobu sprawdzania osiągnięć, a nie rezygnacji z celów kształcenia możliwych do osiągnięcia przez ucznia.</w:t>
      </w:r>
    </w:p>
    <w:p>
      <w:pPr>
        <w:pStyle w:val="Heading1"/>
      </w:pPr>
      <w:r>
        <w:t>10. Wyższa niż przewidywana roczna ocena klasyfikacyjna</w:t>
      </w:r>
    </w:p>
    <w:p>
      <w:r>
        <w:t>Warunki i tryb uzyskania wyższej niż przewidywana rocznej oceny klasyfikacyjnej określa § 60 Statutu Szkoły. Nauczyciel określa zakres wiadomości i umiejętności potrzebny do uzyskania wyższej oceny, odwołując się do wymagań rocznych wskazanych w niniejszym dokumencie.</w:t>
      </w:r>
    </w:p>
    <w:p>
      <w:pPr>
        <w:pStyle w:val="Heading1"/>
      </w:pPr>
      <w:r>
        <w:t>11. Jak wykorzystać dokument podczas hospitacji</w:t>
      </w:r>
    </w:p>
    <w:p>
      <w:r>
        <w:t>Przy planowaniu konkretnej lekcji nauczyciel wybiera z wiersza odpowiadającego tematowi jedno lub kilka wymagań. Można je bezpośrednio wpisać jako wymaganie edukacyjne / kryterium sukcesu, np. „uczeń formułuje poprawne pytanie badawcze i hipotezę” albo „uczeń odczytuje znaki na mapie i planie, posługując się legendą”. Dzięki temu wymaganie obserwowane podczas lekcji jest jednocześnie elementem opublikowanych wymagań śródrocznych lub rocznych.</w:t>
      </w:r>
    </w:p>
    <w:sectPr w:rsidR="00FC693F" w:rsidRPr="0006063C" w:rsidSect="00034616">
      <w:footerReference w:type="default" r:id="rId9"/>
      <w:pgSz w:w="15840" w:h="12240" w:orient="landscape"/>
      <w:pgMar w:top="680" w:right="624" w:bottom="680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Przyroda – klasa IV | wymagania edukacyjne 2026/2027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