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CHEMIA kl. 8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r. szk. 2026/2027</w:t>
      </w:r>
    </w:p>
    <w:p w:rsidR="00000000" w:rsidDel="00000000" w:rsidP="00000000" w:rsidRDefault="00000000" w:rsidRPr="00000000" w14:paraId="00000003">
      <w:pPr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Spis treści:</w:t>
      </w:r>
    </w:p>
    <w:p w:rsidR="00000000" w:rsidDel="00000000" w:rsidP="00000000" w:rsidRDefault="00000000" w:rsidRPr="00000000" w14:paraId="00000006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I. Wymagania edukacyjne niezbędne do otrzymania przez ucznia poszczególnych śródrocznych               </w:t>
      </w:r>
    </w:p>
    <w:p w:rsidR="00000000" w:rsidDel="00000000" w:rsidP="00000000" w:rsidRDefault="00000000" w:rsidRPr="00000000" w14:paraId="00000007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i rocznych ocen klasyfikacyjnych z chemii w klasie ósmej szkoły podstawowej, wynikające     </w:t>
      </w:r>
    </w:p>
    <w:p w:rsidR="00000000" w:rsidDel="00000000" w:rsidP="00000000" w:rsidRDefault="00000000" w:rsidRPr="00000000" w14:paraId="0000000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z realizowanego “Programu nauczania chemii w szkole podstawowej Chemia Nowej Ery”</w:t>
      </w:r>
    </w:p>
    <w:p w:rsidR="00000000" w:rsidDel="00000000" w:rsidP="00000000" w:rsidRDefault="00000000" w:rsidRPr="00000000" w14:paraId="0000000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(Wydawnictwo: Nowa Era).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II. Sposoby sprawdzania osiągnięć edukacyjnych uczniów.</w:t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rPr>
          <w:b w:val="1"/>
          <w:bCs w:val="1"/>
          <w:sz w:val="24"/>
          <w:szCs w:val="24"/>
        </w:rPr>
        <w:sectPr>
          <w:footerReference r:id="rId6" w:type="default"/>
          <w:footerReference r:id="rId7" w:type="even"/>
          <w:pgSz w:h="16838" w:w="11906" w:orient="portrait"/>
          <w:pgMar w:bottom="1133.8582677165355" w:top="1133.8582677165355" w:left="1133.8582677165355" w:right="1133.8582677165355" w:header="567" w:footer="68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III. Warunki i tryb otrzymania wyższej niż przewidywana rocznej oceny klasyfikacyjnej z chemii.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I. Wymagania edukacyjne niezbędne do otrzymania przez ucznia poszczególnych śródrocznych i rocznych ocen klasyfikacyjnych </w:t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z chemii w klasie ósmej szkoły podstawowej, wynikające z realizowanego “Programu nauczania chemii w szkole podstawowej    </w:t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Chemia Nowej Ery” (Wydawnictwo: Nowa Era).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Wymagania edukacyjne na poszczególne śródroczne oceny klasyfikacyjne z chemii dla klasy ósmej obejmują wymagania z działów                                         </w:t>
      </w:r>
    </w:p>
    <w:p w:rsidR="00000000" w:rsidDel="00000000" w:rsidP="00000000" w:rsidRDefault="00000000" w:rsidRPr="00000000" w14:paraId="0000001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od I do III (włącznie), zaś wymagania na oceny roczne obejmują wymagania z działów od I do V włącznie (cały rok szkolny).</w:t>
      </w:r>
    </w:p>
    <w:p w:rsidR="00000000" w:rsidDel="00000000" w:rsidP="00000000" w:rsidRDefault="00000000" w:rsidRPr="00000000" w14:paraId="00000013">
      <w:pPr>
        <w:spacing w:line="360" w:lineRule="auto"/>
        <w:rPr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Kolejność realizacji działów, a co za tym idzie wymagań edukacyjnych może ulec zmianie.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Wyróżnione wymagania programowe odpowiadają wymaganiom ogólnym i szczegółowym zawartym w treściach nauczania podstawy programowej.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line="276" w:lineRule="auto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46fb3"/>
          <w:sz w:val="28"/>
          <w:szCs w:val="28"/>
          <w:rtl w:val="0"/>
        </w:rPr>
        <w:t xml:space="preserve">WYMAGANIA EDUKACYJNE - I półrocze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 Kwasy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025.0" w:type="dxa"/>
        <w:jc w:val="left"/>
        <w:tblInd w:w="-40.0" w:type="dxa"/>
        <w:tblLayout w:type="fixed"/>
        <w:tblLook w:val="0000"/>
      </w:tblPr>
      <w:tblGrid>
        <w:gridCol w:w="3005"/>
        <w:gridCol w:w="3005"/>
        <w:gridCol w:w="3005"/>
        <w:gridCol w:w="3005"/>
        <w:gridCol w:w="3005"/>
        <w:tblGridChange w:id="0">
          <w:tblGrid>
            <w:gridCol w:w="3005"/>
            <w:gridCol w:w="3005"/>
            <w:gridCol w:w="3005"/>
            <w:gridCol w:w="3005"/>
            <w:gridCol w:w="3005"/>
          </w:tblGrid>
        </w:tblGridChange>
      </w:tblGrid>
      <w:tr>
        <w:trPr>
          <w:cantSplit w:val="0"/>
          <w:trHeight w:val="49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[ 1 + 2 + 3 + 4 + 5]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zasady bhp dotyczące obchodzenia się z kwasami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zalicza kwasy do elektrolitów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kwasy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budowę kwasów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różnice w budowie kwasów beztlenowych i kwasów tlenowych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wzory sumaryczne kwasów: HCl,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S,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HNO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poznanych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kwasów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wodór i resztę kwasową we wzorze kwasu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wyznacza wartościowość reszty kwasowej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jak można otrzymać kwas chlorowodorowy, fosforowy(V)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co to jest tlenek kwasowy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stosuje zasadę rozcieńczania kwasów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na czym polega dysocjacja elektrolityczna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(jonowa) kwasów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kation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dysocjacji elektrolitycznej kwasów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(proste przykłady)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rodzaje odczynu roztworu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poznane wskaźniki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zakres pH i barwy wskaźników dla poszczególnych odczynów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rozróżnia doświadczalnie odczyny roztworów za pomocą wskaźników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udowadnia, dlaczego w nazwie danego kwasu pojawia się wartościowość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metody otrzymywania kwasów tlenowych i kwasów beztlenowych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otrzymywania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poznanych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kwasów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tlenek kwasowy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przykłady tlenków kwasowych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dysocjacja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elektrolityczna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wybrane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równania reakcji dysocjacji elektrolitycznej kwasów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nazywa kation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 aniony reszt kwasowych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odczyn roztworu (kwasowy)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obserwacje z przeprowadzanych doświadczeń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posługuje się skalą pH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bada odczyn i pH roztworu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otrzymywania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wskazanego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kwasu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dlaczego podczas pracy ze stężonymi roztworami kwasów należy zachować szczególną ostrożność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doświadczenia, w wyniku których można otrzymać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omawiane na lekcjach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kwasy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poznane tlenki kwasowe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zasadę bezpiecznego rozcieńczania stężonego roztworu kwasu siarkowego(VI)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 odczytuje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równania reakcji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dysocjacji elektrolitycznej kwasów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 odczytuje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równania reakcji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dysocjacji elektrolitycznej w formie stopniowej dla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S,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doświadczenia przeprowadzane na lekcjach (schemat, obserwacje, wniosek)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interpretuje wartość pH w ujęciu jakościowym (odczyny: kwasowy, zasadowy, obojętny)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zastosowania wskaźników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planuje doświadczenie, które pozwala zbadać pH produktów występujących w życiu codziennym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nazywa dowolny kwas tlenowy (określenie wartościowości pierwiastków chemicznych, uwzględnienie ich w nazwie)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i przeprowadza doświadczenia, w których wyniku można otrzymać kwasy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identyfikuje kwasy na podstawie podanych informacji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równania reakcji chemicznych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planuje doświadczalne wykrycie białka w próbce żywności (np.: w serze, mleku, jajku)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reakcję ksantoproteinową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 prezentuje informacje o powstawaniu i skutkach kwaśnych opadów oraz o sposobach ograniczających ich powstawanie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 prezentuje informacje o właściwościach i wynikających z nich zastosowań niektórych  kwasów, np. HCl,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1906" w:w="16838" w:orient="landscape"/>
          <w:pgMar w:bottom="1134" w:top="1134" w:left="1134" w:right="1134" w:header="567" w:footer="680"/>
        </w:sectPr>
      </w:pPr>
      <w:r w:rsidDel="00000000" w:rsidR="00000000" w:rsidRPr="00000000">
        <w:rPr>
          <w:sz w:val="24"/>
          <w:szCs w:val="24"/>
          <w:rtl w:val="0"/>
        </w:rPr>
        <w:t xml:space="preserve">Ocenę celującą otrzymuje uczeń, który rozwiązuje zadania nietypowe (problemowe).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II. Sole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025.0" w:type="dxa"/>
        <w:jc w:val="left"/>
        <w:tblLayout w:type="fixed"/>
        <w:tblLook w:val="0000"/>
      </w:tblPr>
      <w:tblGrid>
        <w:gridCol w:w="3005"/>
        <w:gridCol w:w="3005"/>
        <w:gridCol w:w="3005"/>
        <w:gridCol w:w="3005"/>
        <w:gridCol w:w="3005"/>
        <w:tblGridChange w:id="0">
          <w:tblGrid>
            <w:gridCol w:w="3005"/>
            <w:gridCol w:w="3005"/>
            <w:gridCol w:w="3005"/>
            <w:gridCol w:w="3005"/>
            <w:gridCol w:w="3005"/>
          </w:tblGrid>
        </w:tblGridChange>
      </w:tblGrid>
      <w:tr>
        <w:trPr>
          <w:cantSplit w:val="0"/>
          <w:trHeight w:val="82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 + 5]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budowę soli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tworzy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wzory sumaryczne soli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(np. chlorków, siarczków)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metal i resztę kwasową we wzorze soli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tworzy nazwy soli na podstawie wzorów sumarycznych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(proste przykłady)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tworzy i zapisuje wzory sumaryczne soli na podstawie ich nazw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(np. wzory soli kwasów: chlorowodorowego, siarkowodorowego i metali, np. sodu, potasu i wapnia)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wzory soli wśród wzorów różnych związków chemicznych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dysocjacja elektrolityczna (jonowa) soli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dzieli sole ze względu na ich rozpuszczalność w wodzie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ustala rozpuszczalność soli w wodzie na podstawie tabeli rozpuszczalności soli i wodorotlenków w wodzie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dysocjacji elektrolitycznej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(jonowej) soli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rozpuszczalnych w wodzie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(proste przykłady)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 jonów powstałych w wyniku dysocjacji elektrolitycznej soli (proste przykłady)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sposób otrzymywania soli trzema podstawowymi metodami (kwas + wodorotlenek, metal + kwas, tlenek metalu + kwas)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cząsteczkowo równania reakcji otrzymywania soli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(proste przykłady)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reakcja zobojętniania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reakcja strąceniowa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odróżnia zapis cząsteczkowy od zapisu jonowego równania reakcji chemicznej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związek ładunku jonu z wartościowością metalu i reszty kwasowej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cztery najważniejsze sposoby otrzymywania soli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 i wzory soli (typowe przykłady)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zobojętniania w formach: cząsteczkowej, jonowej oraz jonowej skróconej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 jonów powstałych w wyniku dysocjacji elektrolitycznej soli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równania reakcji otrzymywania soli (proste przykłady)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korzysta z tabeli rozpuszczalności soli i wodorotlenków w wodzie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otrzymywania soli (reakcja strąceniowa) w formach cząsteczkowej i jonowej (proste przykłady)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 odczytuje wybrane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równania reakcji dysocjacji elektrolitycznej soli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dzieli metale ze względu na ich aktywność chemiczną (szereg aktywności chemicznej metali)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sposoby zachowania się metali w reakcji z kwasami (np. miedź i magnez w reakcji z kwasem chlorowodorowym)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obserwacje z doświadczeń przeprowadzanych na lekcji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tworzy i zapisuje nazwy i wzory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soli: chlorków, siarczków, azotanów(V), siarczanów(IV), siarczanów(VI), węglanów, fosforanów(V) (ortofosforanów(V))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 odczytuje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równania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dysocjacji elektrolitycznej soli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otrzymuje sole doświadczalnie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przebieg reakcji zobojętniania i reakcji strąceniowej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otrzymywania soli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ustala, korzystając z szeregu aktywności metali, które metale reagują z kwasami według schematu: metal + kwas </w:t>
            </w:r>
            <w:r w:rsidDel="00000000" w:rsidR="00000000" w:rsidRPr="00000000">
              <w:rPr>
                <w:rFonts w:ascii="Symbol" w:cs="Symbol" w:eastAsia="Symbol" w:hAnsi="Symbo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sól + wodór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i przeprowadza reakcję zobojętniania (HCl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NaOH)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swobodnie posługuje się tabelą rozpuszczalności soli i wodorotlenków w wodzie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doświadczenia pozwalające otrzymać substancje średnio i trudno rozpuszczalne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(sole i wodorotlenki) w reakcjach strąceniowych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odpowiednie równania reakcji w formie cząsteczkowej i jonowej (reakcje otrzymywania substancji średnio i trudno rozpuszczalnych w reakcjach strąceniowych)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soli występujących w przyrodzie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doświadczenia przeprowadzane na lekcjach (schemat, obserwacje, wniosek)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metody otrzymywania soli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przewiduje, czy zajdzie dana reakcja chemiczna (poznane metody, tabela rozpuszczalności soli i wodorotlenków w wodzie, szereg aktywności metali)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 odczytuje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równania reakcji otrzymywania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dowolnej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soli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jakie zmiany zaszły w odczynie roztworów poddanych reakcji zobojętniania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proponuje reakcję tworzenia soli średnio i trudno rozpuszczalnej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przewiduje wynik reakcji strąceniowej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identyfikuje sole na podstawie podanych informacji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zastosowania reakcji strąceniowych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i przeprowadza doświadczenia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dotyczące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otrzymywania soli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przewiduje efekty zaprojektowanych doświadczeń dotyczących otrzymywania soli (różne metody)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zaprojektowane doświadczenia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 prezentuje informacje o zastosowaniach najważniejszych soli: chlorków, węglanów, azotanów(V), siarczanów(VI) i fosforanów(V) (ortofosforanów(V)).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Ocenę celującą otrzymuje uczeń, który rozwiązuje zadania nietypowe (problemowe).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Związki węgla z wodorem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" w:before="0" w:line="240" w:lineRule="auto"/>
        <w:ind w:left="-18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025.0" w:type="dxa"/>
        <w:jc w:val="center"/>
        <w:tblLayout w:type="fixed"/>
        <w:tblLook w:val="0000"/>
      </w:tblPr>
      <w:tblGrid>
        <w:gridCol w:w="3005"/>
        <w:gridCol w:w="3005"/>
        <w:gridCol w:w="3005"/>
        <w:gridCol w:w="3005"/>
        <w:gridCol w:w="3005"/>
        <w:tblGridChange w:id="0">
          <w:tblGrid>
            <w:gridCol w:w="3005"/>
            <w:gridCol w:w="3005"/>
            <w:gridCol w:w="3005"/>
            <w:gridCol w:w="3005"/>
            <w:gridCol w:w="3005"/>
          </w:tblGrid>
        </w:tblGridChange>
      </w:tblGrid>
      <w:tr>
        <w:trPr>
          <w:cantSplit w:val="0"/>
          <w:trHeight w:val="49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"/>
              </w:tabs>
              <w:spacing w:after="0" w:before="24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 + 5]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związki organiczne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związków chemicznych zawierających węgiel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stosuje zasady BHP w pracy z tlenkiem węgla(II)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węglowodory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szereg homologiczny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węglowodory nasycone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węglowodory nienasycone, alkany, alkeny, alkiny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zalicza alkany do węglowodorów nasyconych, a alkeny i alkiny – do nienasyconych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wzory sumaryczne: alkanów, alkenów i alkinów o podanej liczbie atomów węgla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rysuje wzory strukturalne i półstrukturalne (grupowe): alkanów, alkenów i alkinów o łańcuchach prostych (do czterech atomów węgla w cząsteczce)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 systematyczne alkanów (do czterech atomów węgla w cząsteczce)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wzory ogólne: alkanów, alkenów i alkinów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zasady tworzenia nazw alkenów i alkinów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przyporządkowuje dany węglowodór do odpowiedniego szeregu homologicznego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budowę i występowanie metanu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właściwości fizyczne i chemiczne metanu, etanu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na czym polegają spalanie całkowite i spalanie niecałkowite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spalania całkowitego i spalania niecałkowitego metanu, etanu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wzory sumaryczne i strukturalne etenu i etynu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najważniejsze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właściwości etenu i etynu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polimeryzacja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monomer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polimer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wpływ węglowodorów nasyconych i węglowodorów nienasyconych na wodę bromową (lub roztwór manganianu(VII) potasu)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szereg homologiczny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tworzy nazwy alkenów i alkinów na podstawie nazw odpowiednich alkanów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wzory: sumaryczne, strukturalne i półstrukturalne (grupowe);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nazwy: alkanów, alkenów i alkinów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buduje model cząsteczki: metanu, etenu, etynu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różnicę między spalaniem całkowitym a spalaniem niecałkowitym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właściwości fizyczne i chemiczne (spalanie) alkanów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(metanu, etanu)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oraz etenu i etynu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 odczytuje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równania reakcji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spalania metanu,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etanu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przy ograniczonym i nieograniczonym dostępie tlenu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pisze równania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b05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reakcji spalania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b05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etenu i etynu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budowę etenu i etynu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na czym polegają reakcje przyłączania i polimeryzacji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jak można doświadczalnie odróżnić węglowodory nasycone od węglowodorów nienasyconych,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np. metan od etenu czy etynu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od czego zależą właściwości węglowodorów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obserwacje do wykonywanych na lekcji doświadczeń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tworzy wzory ogólne alkanów, alkenów, alkinów (na podstawie wzorów kolejnych związków chemicznych w danym szeregu homologicznym)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proponuje sposób doświadczalnego wykrycia produktów spalania węglowodorów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spalania alkanów przy ograniczonym i nieograniczonym dostępie tlenu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spalania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etenu i etynu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otrzymywania etynu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podane równania reakcji chemicznej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etenu i etynu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 bromem, polimeryzacji etenu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rolę katalizatora w reakcji chemicznej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zależność między długością łańcucha węglowego a właściwościami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fizycznymi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alkanów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(np. stanem skupienia, lotnością, palnością, gęstością, temperaturą topnienia i wrzenia) 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co jest przyczyną większej reaktywności węglowodorów nienasyconych w porównaniu z węglowodorami nasyconymi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doświadczenie chemiczne umożliwiające odróżnienie węglowodorów nasyconych od węglowodorów nienasyconych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przeprowadzane doświadczenia chemiczne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właściwości węglowodorów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właściwości węglowodorów nasyconych i węglowodorów nienasyconych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wpływ wiązania wielokrotnego w cząsteczce węglowodoru na jego reaktywność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przyłączania (np. bromowodoru, wodoru, chloru) do węglowodorów zawierających wiązanie wielokrotne 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doświadczenia chemiczne dotyczące węglowodorów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znaczenie węglowodorów w życiu codziennym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 i prezentuje informacje o naturalnych źródłach węglowodorów oraz o produktach destylacji ropy naftowej i ich zastosowaniach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 informacje na temat zastosowań alkanów, etenu i etynu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 i prezentuje informacje o właściwościach i zastosowaniu polietylenu </w:t>
            </w:r>
          </w:p>
        </w:tc>
      </w:tr>
    </w:tbl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Ocenę celującą otrzymuje uczeń, który rozwiązuje zadania nietypowe (problemowe).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746fb3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746fb3"/>
          <w:sz w:val="28"/>
          <w:szCs w:val="28"/>
          <w:rtl w:val="0"/>
        </w:rPr>
        <w:t xml:space="preserve">WYMAGANIA EDUKACYJNE - II półrocze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IV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Pochodne węglowodorów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" w:before="0" w:line="240" w:lineRule="auto"/>
        <w:ind w:left="-18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025.0" w:type="dxa"/>
        <w:jc w:val="center"/>
        <w:tblLayout w:type="fixed"/>
        <w:tblLook w:val="0000"/>
      </w:tblPr>
      <w:tblGrid>
        <w:gridCol w:w="3005"/>
        <w:gridCol w:w="3005"/>
        <w:gridCol w:w="3005"/>
        <w:gridCol w:w="3005"/>
        <w:gridCol w:w="3005"/>
        <w:tblGridChange w:id="0">
          <w:tblGrid>
            <w:gridCol w:w="3005"/>
            <w:gridCol w:w="3005"/>
            <w:gridCol w:w="3005"/>
            <w:gridCol w:w="3005"/>
            <w:gridCol w:w="300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 + 5]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dowodzi, że alkohole, kwasy karboksylowe, estry i aminokwasy są pochodnymi węglowodorów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budowę pochodnych węglowodorów (grupa węglowodorowa + grupa funkcyjna)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pierwiastki chemiczne wchodzące w skład pochodnych węglowodorów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zalicza daną substancję organiczną do odpowiedniej grupy związków chemicznych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co to jest grupa funkcyjna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zaznacza grupy funkcyjne w alkoholach, kwasach karboksylowych, estrach, aminokwasach; podaje ich nazwy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wzory ogólne alkoholi, kwasów karboksylowych i estrów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dzieli alkohole na monohydroksylowe i polihydroksylowe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wzory sumaryczne i rysuje wzory półstrukturalne (grupowe), strukturalne alkoholi monohydroksylowych o łańcuchach prostych zawierających do czterech atomów węgla w cząsteczce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co to są nazwy zwyczajowe i nazwy systematyczne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tworzy nazwy systematyczne alkoholi monohydroksylowych o łańcuchach prostych zawierających do czterech atomów węgla w cząsteczce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podaje zwyczajowe (metanolu, etanolu) 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rysuje wzory półstrukturalne (grupowe), strukturalne kwasów monokarboksylowych o łańcuchach prostych zawierających do dwóch atomów węgla w cząsteczce; podaje ich nazwy systematyczne i zwyczajowe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(kwasu metanowego i kwasu etanowego)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zaznacza resztę kwasową we wzorze kwasu karboksylowego 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najważniejsze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właściwości metanolu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etanolu i glicerolu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oraz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kwasów octowego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 mrówkowego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bada właściwości fizyczne glicerolu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równanie reakcji spalania metanolu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dzieli kwasy karboksylowe na nasycone i nienasycone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najważniejsze kwasy tłuszczowe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najważniejsze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właściwości długołańcuchowych kwasów karboksylowych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(stearynowego i oleinowego)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mydła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związki chemiczne, które są substratami reakcji estryfikacji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estry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zagrożenia związane z alkoholami (metanol, etanol)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najważniejsze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zastosowania metanolu i etanolu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wśród poznanych substancji wskazuje te, które mają szkodliwy wpływ na organizm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budowę i właściwości aminokwasów (na przykładzie glicyny)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występowania aminokwasów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nazwy i wzory omawianych grup funkcyjnych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co to są alkohole polihydroksylowe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wzory i podaje nazwy alkoholi monohydroksylowych o łańcuchach prostych (zawierających do czterech atomów węgla w cząsteczce)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wzory sumaryczny i półstrukturalny (grupowy) propano-1,2,3-triolu (glicerolu)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uzasadnia stwierdzenie, że alkohole i kwasy karboksylowe tworzą szeregi homologiczne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odczyn roztworu alkoholu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spalania etanolu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kwasów organicznych występujących w przyrodzie (kwasy: mrówkowy, szczawiowy, cytrynowy)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tworzy nazwy prostych kwasów karboksylowych (do czterech atomów węgla w cząsteczce) i zapisuje ich wzory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sumaryczne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strukturalne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właściwości kwasów metanowego (mrówkowego) i etanowego (octowego)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bada wybrane właściwości fizyczne kwasu etanowego (octowego)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dysocjację elektrolityczną kwasów karboksylowych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bada odczyn wodnego roztworu kwasu etanowego (octowego)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reakcji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spalania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reakcji dysocjacji elektrolitycznej kwasów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metanowego (mrówkowego)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etanowego (octowego)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kwasów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metanowego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(mrówkowego)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etanowego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(octowego)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metalami, tlenkami metali i wodorotlenkami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 soli pochodzących od kwasów metanowego (mrówkowego) i etanowego (octowego)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 długołańcuchowych kwasów monokarboksylowych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(przykłady)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wzory sumaryczne kwasów: palmitynowego, stearynowego i oleinowego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jak można doświadczalnie udowodnić, że dany kwas karboksylowy jest kwasem nienasyconym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estrów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na czym polega reakcja estryfikacji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tworzy nazwy estrów pochodzących od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podanych nazw kwasów i alkoholi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(proste przykłady)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sposób otrzymywania wskazanego estru (np. octanu etylu)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otrzymywania estru (proste przykłady, np. octanu metylu)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właściwości fizyczne octanu etylu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negatywne skutki działania metanolu i etanolu na organizm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bada właściwości fizyczne omawianych związków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obserwacje z wykonywanych doświadczeń chemicznych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dlaczego etanol ma odczyn obojętny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w jaki sposób tworzy się nazwę systematyczną glicerolu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spalania alkoholi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 zwyczajowe i systematyczne alkoholi i kwasów karboksylowych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dlaczego niektóre wyższe kwasy karboksylowe nazywa się kwasami tłuszczowymi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właściwości kwasów organicznych i nieorganicznych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właściwości kwasów karboksylowych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dzieli kwasy karboksylowe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chemicznych kwasów karboksylowych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 soli kwasów organicznych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nazwy i rysuje wzory półstrukturalne (grupowe) długołańcuchowych kwasów monokarboksylowych (kwasów tłuszczowych) nasyconych (palmitynowego, stearynowego) i nienasyconego (oleinowego)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miejsce występowania wiązania podwójnego w cząsteczce kwasu oleinowego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doświadczenie chemiczne umożliwiające odróżnienie kwasu oleinowego od kwasów palmitynowego lub stearynowego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chemicznych prostych kwasów karboksylowych z alkoholami monohydroksylowymi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otrzymywania podanych estrów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tworzy wzory estrów na podstawie nazw kwasów i alkoholi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tworzy nazwy systematyczne i zwyczajowe estrów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 podstawie nazw odpowiednich kwasów karboksylowych i alkoholi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wzór poznanego aminokwasu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budowę oraz wybrane właściwości fizyczne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chemiczne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aminokwasów na przykładzie kwasu aminooctowego (glicyny)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właściwości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omawianych związków chemicznych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bada niektóre właściwości fizyczne i chemiczne omawianych związków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przeprowadzone doświadczenia chemiczne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proponuje doświadczenie chemiczne do podanego tematu z działu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Pochodne węglowodorów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doświadczenia chemiczne (schemat, obserwacje, wniosek)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przeprowadza doświadczenia chemiczne do działu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Pochodne węglowodorów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wzory podanych alkoholi i kwasów karboksylowych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chemicznych alkoholi, kwasów karboksylowych o wyższym stopniu trudności (np. więcej niż cztery atomów węgla w cząsteczce) 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zależność między długością łańcucha węglowego a stanem skupienia i reaktywnością alkoholi oraz kwasów karboksylowych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otrzymywania estru o podanej nazwie lub podanym wzorze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planuje i przeprowadza doświadczenie pozwalające otrzymać ester o podanej nazwie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przewiduje produkty reakcji chemicznej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identyfikuje poznane substancje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szczegółowo przebieg reakcji estryfikacji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omawia różnicę między reakcją estryfikacji a reakcją zobojętniania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chemicznych w formach: cząsteczkowej, jonowej i skróconej jonowej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analizuje konsekwencje istnienia dwóch grup funkcyjnych w cząsteczce aminokwasu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równanie kondensacji dwóch cząsteczek glicyny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mechanizm powstawania wiązania peptydowego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40" w:line="240" w:lineRule="auto"/>
              <w:ind w:left="102" w:right="0" w:hanging="1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 i prezentuje informacje na temat zastosowań glicerolu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 informacje na temat zastosowań kwasów organicznych występujących w przyrodzie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 informacje o właściwościach estrów w aspekcie ich zastosowań</w:t>
            </w:r>
          </w:p>
        </w:tc>
      </w:tr>
    </w:tbl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Ocenę celującą otrzymuje uczeń, który rozwiązuje zadania nietypowe (problemowe).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Substancje o znaczeniu biologicznym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" w:before="0" w:line="240" w:lineRule="auto"/>
        <w:ind w:left="-18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025.0" w:type="dxa"/>
        <w:jc w:val="center"/>
        <w:tblLayout w:type="fixed"/>
        <w:tblLook w:val="0000"/>
      </w:tblPr>
      <w:tblGrid>
        <w:gridCol w:w="3005"/>
        <w:gridCol w:w="3005"/>
        <w:gridCol w:w="3005"/>
        <w:gridCol w:w="3005"/>
        <w:gridCol w:w="3005"/>
        <w:tblGridChange w:id="0">
          <w:tblGrid>
            <w:gridCol w:w="3005"/>
            <w:gridCol w:w="3005"/>
            <w:gridCol w:w="3005"/>
            <w:gridCol w:w="3005"/>
            <w:gridCol w:w="3005"/>
          </w:tblGrid>
        </w:tblGridChange>
      </w:tblGrid>
      <w:tr>
        <w:trPr>
          <w:cantSplit w:val="0"/>
          <w:trHeight w:val="49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1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 + 5]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pierwiastki chemiczne, których atomy wchodzą w skład cząsteczek: tłuszczów, cukrów i białek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białka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jako związki chemiczne powstające z aminokwasów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denaturacja, koagulacja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żel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czynniki powodujące denaturację białek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reakcje charakterystyczne białek i skrobi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co to są związki wielkocząsteczkowe; wymienia ich przykłady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wpływ oleju roślinnego na wodę bromową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jak można doświadczalnie odróżnić tłuszcze nienasycone od tłuszczów nasyconych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czynniki powodujące koagulację białek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bada właściwości fizyczne wybranych związków chemicznych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(glukozy, fruktozy, sacharozy, skrobi i celulozy)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wykrywa obecność skrobi i białka w produktach spożywczych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dlaczego olej roślinny odbarwia wodę bromową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białka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jako związki chemiczne powstające w wyniku kondensacji aminokwasów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peptydy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peptyzacja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wysalanie białek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różnice w przebiegu denaturacji i koagulacji białek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wiązanie peptydowe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i przeprowadza doświadczenie chemiczne umożliwiające odróżnienie tłuszczu nienasyconego od tłuszczu nasyconego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doświadczenia chemiczne umożliwiające wykrycie białka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 pomocą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stężonego roztworu kwasu azotowego(V)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planuje doświadczenia chemiczne umożliwiające badanie właściwości omawianych związków chemicznych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przeprowadzone doświadczenia chemiczne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1602"/>
              </w:tabs>
              <w:spacing w:after="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  <w:tab/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wzór tristearynianu glicerolu</w:t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i przeprowadza doświadczenia chemiczne umożliwiające wykrycie białka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na czym polega wysalanie białek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planuje i przeprowadza doświadczenie chemiczne weryfikujące postawioną hipotezę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identyfikuje poznane substancje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wymienia najważniejsze właściwości omawianych związków chemicznych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4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 prezentuje informacje o budowie tłuszczów (jako estrów glicerolu i kwasów tłuszczowych), ich klasyfikacji pod względem pochodzenia, stanu skupienia i charakteru chemicznego oraz o wybranych właściwościach fizycznych, znaczeniu i zastosowaniu tłuszczów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 prezentuje informacje o budowie i właściwościach fizycznych oraz znaczeniu i zastosowaniu białek</w:t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142"/>
                <w:tab w:val="center" w:leader="none" w:pos="1602"/>
              </w:tabs>
              <w:spacing w:after="0" w:before="0" w:line="240" w:lineRule="auto"/>
              <w:ind w:left="142" w:right="0" w:hanging="14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 prezentuje informacje o budowie cukrów (glukozy, fruktozy, sacharozy, skrobi i celulozy), ich klasyfikacji oraz o wybranych właściwościach fizycznych, znaczeniu i zastosowaniu cukrów</w:t>
            </w:r>
          </w:p>
        </w:tc>
      </w:tr>
    </w:tbl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9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Ocenę celującą otrzymuje uczeń, który rozwiązuje zadania nietypowe (problemowe).</w:t>
      </w:r>
    </w:p>
    <w:p w:rsidR="00000000" w:rsidDel="00000000" w:rsidP="00000000" w:rsidRDefault="00000000" w:rsidRPr="00000000" w14:paraId="0000019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hd w:fill="ffffff" w:val="clear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II. Sposoby sprawdzania osiągnięć edukacyjnych uczniów.</w:t>
      </w:r>
    </w:p>
    <w:p w:rsidR="00000000" w:rsidDel="00000000" w:rsidP="00000000" w:rsidRDefault="00000000" w:rsidRPr="00000000" w14:paraId="0000019C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Sprawdzanie osiągnięć edukacyjnych uczniów może odbywać się poprzez:</w:t>
      </w:r>
    </w:p>
    <w:p w:rsidR="00000000" w:rsidDel="00000000" w:rsidP="00000000" w:rsidRDefault="00000000" w:rsidRPr="00000000" w14:paraId="0000019D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sprawdziany;</w:t>
      </w:r>
    </w:p>
    <w:p w:rsidR="00000000" w:rsidDel="00000000" w:rsidP="00000000" w:rsidRDefault="00000000" w:rsidRPr="00000000" w14:paraId="0000019E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kartkówki;</w:t>
      </w:r>
    </w:p>
    <w:p w:rsidR="00000000" w:rsidDel="00000000" w:rsidP="00000000" w:rsidRDefault="00000000" w:rsidRPr="00000000" w14:paraId="0000019F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odpowiedzi ustne;</w:t>
      </w:r>
    </w:p>
    <w:p w:rsidR="00000000" w:rsidDel="00000000" w:rsidP="00000000" w:rsidRDefault="00000000" w:rsidRPr="00000000" w14:paraId="000001A0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praca na lekcji;</w:t>
      </w:r>
    </w:p>
    <w:p w:rsidR="00000000" w:rsidDel="00000000" w:rsidP="00000000" w:rsidRDefault="00000000" w:rsidRPr="00000000" w14:paraId="000001A1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projekt edukacyjny;</w:t>
      </w:r>
    </w:p>
    <w:p w:rsidR="00000000" w:rsidDel="00000000" w:rsidP="00000000" w:rsidRDefault="00000000" w:rsidRPr="00000000" w14:paraId="000001A2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udział w konkursach;</w:t>
      </w:r>
    </w:p>
    <w:p w:rsidR="00000000" w:rsidDel="00000000" w:rsidP="00000000" w:rsidRDefault="00000000" w:rsidRPr="00000000" w14:paraId="000001A3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testy diagnostyczne (w skali punktowej i / lub procentowej)  - nie mają wpływu na ocenę śródroczną i końcoworoczną. </w:t>
      </w:r>
    </w:p>
    <w:p w:rsidR="00000000" w:rsidDel="00000000" w:rsidP="00000000" w:rsidRDefault="00000000" w:rsidRPr="00000000" w14:paraId="000001A4">
      <w:pPr>
        <w:widowControl w:val="0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hd w:fill="ffffff" w:val="clear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III. Warunki i tryb otrzymania wyższej niż przewidywana rocznej oceny klasyfikacyjnej z chemii.</w:t>
      </w:r>
    </w:p>
    <w:p w:rsidR="00000000" w:rsidDel="00000000" w:rsidP="00000000" w:rsidRDefault="00000000" w:rsidRPr="00000000" w14:paraId="000001A7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Zgodnie ze Statutem Szkoły Podstawowej w Zespole Szkolno-Przedszkolnym w Mielżynie.</w:t>
      </w:r>
    </w:p>
    <w:p w:rsidR="00000000" w:rsidDel="00000000" w:rsidP="00000000" w:rsidRDefault="00000000" w:rsidRPr="00000000" w14:paraId="000001A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133.8582677165355" w:top="1133.8582677165355" w:left="1134" w:right="1134" w:header="567" w:footer="68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Courier New"/>
  <w:font w:name="Symbo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495300</wp:posOffset>
              </wp:positionH>
              <wp:positionV relativeFrom="paragraph">
                <wp:posOffset>9182100</wp:posOffset>
              </wp:positionV>
              <wp:extent cx="3096895" cy="381635"/>
              <wp:effectExtent b="0" l="0" r="0" t="0"/>
              <wp:wrapNone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97550" y="3589175"/>
                        <a:ext cx="3096895" cy="381635"/>
                        <a:chOff x="3797550" y="3589175"/>
                        <a:chExt cx="3096900" cy="381650"/>
                      </a:xfrm>
                    </wpg:grpSpPr>
                    <wpg:grpSp>
                      <wpg:cNvGrpSpPr/>
                      <wpg:grpSpPr>
                        <a:xfrm>
                          <a:off x="3797553" y="3589183"/>
                          <a:ext cx="3096895" cy="381635"/>
                          <a:chOff x="1091" y="15878"/>
                          <a:chExt cx="4877" cy="601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091" y="15878"/>
                            <a:ext cx="4875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logoNE_rgb" id="7" name="Shape 7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091" y="15906"/>
                            <a:ext cx="833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8" name="Shape 8"/>
                        <wps:spPr>
                          <a:xfrm>
                            <a:off x="2030" y="15878"/>
                            <a:ext cx="3938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495300</wp:posOffset>
              </wp:positionH>
              <wp:positionV relativeFrom="paragraph">
                <wp:posOffset>9182100</wp:posOffset>
              </wp:positionV>
              <wp:extent cx="3096895" cy="381635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6895" cy="3816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495300</wp:posOffset>
              </wp:positionH>
              <wp:positionV relativeFrom="paragraph">
                <wp:posOffset>9182100</wp:posOffset>
              </wp:positionV>
              <wp:extent cx="3096895" cy="381635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97550" y="3589175"/>
                        <a:ext cx="3096895" cy="381635"/>
                        <a:chOff x="3797550" y="3589175"/>
                        <a:chExt cx="3096900" cy="381650"/>
                      </a:xfrm>
                    </wpg:grpSpPr>
                    <wpg:grpSp>
                      <wpg:cNvGrpSpPr/>
                      <wpg:grpSpPr>
                        <a:xfrm>
                          <a:off x="3797553" y="3589183"/>
                          <a:ext cx="3096895" cy="381635"/>
                          <a:chOff x="1091" y="15878"/>
                          <a:chExt cx="4877" cy="601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091" y="15878"/>
                            <a:ext cx="4875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logoNE_rgb"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091" y="15906"/>
                            <a:ext cx="833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2030" y="15878"/>
                            <a:ext cx="3938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495300</wp:posOffset>
              </wp:positionH>
              <wp:positionV relativeFrom="paragraph">
                <wp:posOffset>9182100</wp:posOffset>
              </wp:positionV>
              <wp:extent cx="3096895" cy="38163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6895" cy="3816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495300</wp:posOffset>
              </wp:positionH>
              <wp:positionV relativeFrom="paragraph">
                <wp:posOffset>9182100</wp:posOffset>
              </wp:positionV>
              <wp:extent cx="3096895" cy="381635"/>
              <wp:effectExtent b="0" l="0" r="0" t="0"/>
              <wp:wrapNone/>
              <wp:docPr id="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97550" y="3589175"/>
                        <a:ext cx="3096895" cy="381635"/>
                        <a:chOff x="3797550" y="3589175"/>
                        <a:chExt cx="3096900" cy="381650"/>
                      </a:xfrm>
                    </wpg:grpSpPr>
                    <wpg:grpSp>
                      <wpg:cNvGrpSpPr/>
                      <wpg:grpSpPr>
                        <a:xfrm>
                          <a:off x="3797553" y="3589183"/>
                          <a:ext cx="3096895" cy="381635"/>
                          <a:chOff x="1091" y="15878"/>
                          <a:chExt cx="4877" cy="601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091" y="15878"/>
                            <a:ext cx="4875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logoNE_rgb" id="13" name="Shape 13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091" y="15906"/>
                            <a:ext cx="833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4" name="Shape 14"/>
                        <wps:spPr>
                          <a:xfrm>
                            <a:off x="2030" y="15878"/>
                            <a:ext cx="3938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495300</wp:posOffset>
              </wp:positionH>
              <wp:positionV relativeFrom="paragraph">
                <wp:posOffset>9182100</wp:posOffset>
              </wp:positionV>
              <wp:extent cx="3096895" cy="381635"/>
              <wp:effectExtent b="0" l="0" r="0" t="0"/>
              <wp:wrapNone/>
              <wp:docPr id="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6895" cy="3816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495300</wp:posOffset>
              </wp:positionH>
              <wp:positionV relativeFrom="paragraph">
                <wp:posOffset>9182100</wp:posOffset>
              </wp:positionV>
              <wp:extent cx="3096895" cy="381635"/>
              <wp:effectExtent b="0" l="0" r="0" t="0"/>
              <wp:wrapNone/>
              <wp:docPr id="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97550" y="3589175"/>
                        <a:ext cx="3096895" cy="381635"/>
                        <a:chOff x="3797550" y="3589175"/>
                        <a:chExt cx="3096900" cy="381650"/>
                      </a:xfrm>
                    </wpg:grpSpPr>
                    <wpg:grpSp>
                      <wpg:cNvGrpSpPr/>
                      <wpg:grpSpPr>
                        <a:xfrm>
                          <a:off x="3797553" y="3589183"/>
                          <a:ext cx="3096895" cy="381635"/>
                          <a:chOff x="1091" y="15878"/>
                          <a:chExt cx="4877" cy="601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091" y="15878"/>
                            <a:ext cx="4875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logoNE_rgb" id="10" name="Shape 10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091" y="15906"/>
                            <a:ext cx="833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1" name="Shape 11"/>
                        <wps:spPr>
                          <a:xfrm>
                            <a:off x="2030" y="15878"/>
                            <a:ext cx="3938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495300</wp:posOffset>
              </wp:positionH>
              <wp:positionV relativeFrom="paragraph">
                <wp:posOffset>9182100</wp:posOffset>
              </wp:positionV>
              <wp:extent cx="3096895" cy="381635"/>
              <wp:effectExtent b="0" l="0" r="0" t="0"/>
              <wp:wrapNone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6895" cy="3816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2">
    <w:lvl w:ilvl="0">
      <w:start w:val="1"/>
      <w:numFmt w:val="bullet"/>
      <w:lvlText w:val="−"/>
      <w:lvlJc w:val="left"/>
      <w:pPr>
        <w:ind w:left="746" w:hanging="360.00000000000006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66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86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06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26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46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66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86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06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3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4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5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6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7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8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0x010100ADDD5553E479A24D9A87FC7F8DF25BCC</vt:lpwstr>
  </property>
  <property fmtid="{D5CDD505-2E9C-101B-9397-08002B2CF9AE}" pid="3" name="_activity">
    <vt:lpwstr>_activity</vt:lpwstr>
  </property>
</Properties>
</file>